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shd w:val="clear" w:color="auto" w:fill="FFFFFF"/>
        <w:jc w:val="center"/>
        <w:rPr>
          <w:rFonts w:hint="default"/>
        </w:rPr>
      </w:pPr>
      <w:bookmarkStart w:id="0" w:name="_GoBack"/>
      <w:bookmarkEnd w:id="0"/>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shd w:val="clear" w:color="auto" w:fill="FFFFFF"/>
        </w:rPr>
      </w:pPr>
    </w:p>
    <w:p>
      <w:pPr>
        <w:pStyle w:val="11"/>
        <w:shd w:val="clear" w:color="auto" w:fill="FFFFFF"/>
        <w:jc w:val="center"/>
        <w:rPr>
          <w:rFonts w:hint="default"/>
          <w:sz w:val="32"/>
          <w:szCs w:val="32"/>
          <w:shd w:val="clear" w:color="auto" w:fill="FFFFFF"/>
        </w:rPr>
      </w:pPr>
      <w:r>
        <w:rPr>
          <w:sz w:val="32"/>
          <w:szCs w:val="32"/>
          <w:shd w:val="clear" w:color="auto" w:fill="FFFFFF"/>
        </w:rPr>
        <w:t>2020年度</w:t>
      </w:r>
    </w:p>
    <w:p>
      <w:pPr>
        <w:pStyle w:val="11"/>
        <w:shd w:val="clear" w:color="auto" w:fill="FFFFFF"/>
        <w:jc w:val="center"/>
        <w:rPr>
          <w:rFonts w:hint="default"/>
          <w:sz w:val="32"/>
          <w:szCs w:val="32"/>
          <w:shd w:val="clear" w:color="auto" w:fill="FFFFFF"/>
        </w:rPr>
      </w:pPr>
      <w:r>
        <w:rPr>
          <w:sz w:val="32"/>
          <w:szCs w:val="32"/>
        </w:rPr>
        <w:t>甘肃煤炭地质勘查院</w:t>
      </w:r>
      <w:r>
        <w:rPr>
          <w:sz w:val="32"/>
          <w:szCs w:val="32"/>
          <w:shd w:val="clear" w:color="auto" w:fill="FFFFFF"/>
        </w:rPr>
        <w:t>部门决算</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shd w:val="clear" w:color="auto" w:fill="FFFFFF"/>
        </w:rPr>
      </w:pPr>
    </w:p>
    <w:p>
      <w:pPr>
        <w:pStyle w:val="11"/>
        <w:shd w:val="clear" w:color="auto" w:fill="FFFFFF"/>
        <w:jc w:val="center"/>
        <w:rPr>
          <w:rFonts w:hint="default"/>
          <w:shd w:val="clear" w:color="auto" w:fill="FFFFFF"/>
        </w:rPr>
      </w:pPr>
    </w:p>
    <w:p>
      <w:pPr>
        <w:pStyle w:val="11"/>
        <w:shd w:val="clear" w:color="auto" w:fill="FFFFFF"/>
        <w:jc w:val="center"/>
        <w:rPr>
          <w:rFonts w:hint="default"/>
          <w:shd w:val="clear" w:color="auto" w:fill="FFFFFF"/>
        </w:rPr>
      </w:pPr>
    </w:p>
    <w:p>
      <w:pPr>
        <w:pStyle w:val="11"/>
        <w:shd w:val="clear" w:color="auto" w:fill="FFFFFF"/>
        <w:jc w:val="center"/>
        <w:rPr>
          <w:rFonts w:hint="default"/>
          <w:shd w:val="clear" w:color="auto" w:fill="FFFFFF"/>
        </w:rPr>
      </w:pPr>
    </w:p>
    <w:p>
      <w:pPr>
        <w:pStyle w:val="11"/>
        <w:shd w:val="clear" w:color="auto" w:fill="FFFFFF"/>
        <w:jc w:val="center"/>
        <w:rPr>
          <w:rFonts w:hint="default"/>
        </w:rPr>
      </w:pPr>
      <w:r>
        <w:rPr>
          <w:rStyle w:val="14"/>
          <w:rFonts w:cs="宋体"/>
          <w:shd w:val="clear" w:color="auto" w:fill="FFFFFF"/>
        </w:rPr>
        <w:t>目</w:t>
      </w:r>
      <w:r>
        <w:rPr>
          <w:shd w:val="clear" w:color="auto" w:fill="FFFFFF"/>
        </w:rPr>
        <w:t xml:space="preserve"> </w:t>
      </w:r>
      <w:r>
        <w:rPr>
          <w:rStyle w:val="14"/>
          <w:rFonts w:cs="宋体"/>
          <w:shd w:val="clear" w:color="auto" w:fill="FFFFFF"/>
        </w:rPr>
        <w:t>录</w:t>
      </w:r>
    </w:p>
    <w:p>
      <w:pPr>
        <w:pStyle w:val="11"/>
        <w:shd w:val="clear" w:color="auto" w:fill="FFFFFF"/>
        <w:spacing w:line="560" w:lineRule="exact"/>
        <w:rPr>
          <w:rFonts w:hint="default"/>
        </w:rPr>
      </w:pPr>
      <w:r>
        <w:rPr>
          <w:rStyle w:val="14"/>
          <w:rFonts w:cs="宋体"/>
          <w:shd w:val="clear" w:color="auto" w:fill="FFFFFF"/>
        </w:rPr>
        <w:t>第一部分  部门概括</w:t>
      </w:r>
    </w:p>
    <w:p>
      <w:pPr>
        <w:pStyle w:val="11"/>
        <w:shd w:val="clear" w:color="auto" w:fill="FFFFFF"/>
        <w:spacing w:line="560" w:lineRule="exact"/>
        <w:rPr>
          <w:rFonts w:hint="default"/>
        </w:rPr>
      </w:pPr>
      <w:r>
        <w:rPr>
          <w:shd w:val="clear" w:color="auto" w:fill="FFFFFF"/>
        </w:rPr>
        <w:t>一、部门职责</w:t>
      </w:r>
    </w:p>
    <w:p>
      <w:pPr>
        <w:pStyle w:val="11"/>
        <w:shd w:val="clear" w:color="auto" w:fill="FFFFFF"/>
        <w:spacing w:line="560" w:lineRule="exact"/>
        <w:rPr>
          <w:rFonts w:hint="default"/>
        </w:rPr>
      </w:pPr>
      <w:r>
        <w:rPr>
          <w:shd w:val="clear" w:color="auto" w:fill="FFFFFF"/>
        </w:rPr>
        <w:t>二、机构设置</w:t>
      </w:r>
    </w:p>
    <w:p>
      <w:pPr>
        <w:pStyle w:val="11"/>
        <w:shd w:val="clear" w:color="auto" w:fill="FFFFFF"/>
        <w:spacing w:line="560" w:lineRule="exact"/>
        <w:rPr>
          <w:rFonts w:hint="default"/>
        </w:rPr>
      </w:pPr>
      <w:r>
        <w:rPr>
          <w:rStyle w:val="14"/>
          <w:rFonts w:cs="宋体"/>
          <w:shd w:val="clear" w:color="auto" w:fill="FFFFFF"/>
        </w:rPr>
        <w:t>第二部分  2020年度部门决算表</w:t>
      </w:r>
    </w:p>
    <w:p>
      <w:pPr>
        <w:pStyle w:val="11"/>
        <w:shd w:val="clear" w:color="auto" w:fill="FFFFFF"/>
        <w:spacing w:line="560" w:lineRule="exact"/>
        <w:rPr>
          <w:rFonts w:hint="default"/>
        </w:rPr>
      </w:pPr>
      <w:r>
        <w:rPr>
          <w:shd w:val="clear" w:color="auto" w:fill="FFFFFF"/>
        </w:rPr>
        <w:t>一、收入支出决算总表</w:t>
      </w:r>
    </w:p>
    <w:p>
      <w:pPr>
        <w:pStyle w:val="11"/>
        <w:shd w:val="clear" w:color="auto" w:fill="FFFFFF"/>
        <w:spacing w:line="560" w:lineRule="exact"/>
        <w:rPr>
          <w:rFonts w:hint="default"/>
        </w:rPr>
      </w:pPr>
      <w:r>
        <w:rPr>
          <w:shd w:val="clear" w:color="auto" w:fill="FFFFFF"/>
        </w:rPr>
        <w:t>二、收入决算表</w:t>
      </w:r>
    </w:p>
    <w:p>
      <w:pPr>
        <w:pStyle w:val="11"/>
        <w:shd w:val="clear" w:color="auto" w:fill="FFFFFF"/>
        <w:spacing w:line="560" w:lineRule="exact"/>
        <w:rPr>
          <w:rFonts w:hint="default"/>
        </w:rPr>
      </w:pPr>
      <w:r>
        <w:rPr>
          <w:shd w:val="clear" w:color="auto" w:fill="FFFFFF"/>
        </w:rPr>
        <w:t>三、支出决算表</w:t>
      </w:r>
    </w:p>
    <w:p>
      <w:pPr>
        <w:pStyle w:val="11"/>
        <w:shd w:val="clear" w:color="auto" w:fill="FFFFFF"/>
        <w:spacing w:line="560" w:lineRule="exact"/>
        <w:rPr>
          <w:rFonts w:hint="default"/>
        </w:rPr>
      </w:pPr>
      <w:r>
        <w:rPr>
          <w:shd w:val="clear" w:color="auto" w:fill="FFFFFF"/>
        </w:rPr>
        <w:t>四、财政拨款收入支出决算总表</w:t>
      </w:r>
    </w:p>
    <w:p>
      <w:pPr>
        <w:pStyle w:val="11"/>
        <w:shd w:val="clear" w:color="auto" w:fill="FFFFFF"/>
        <w:spacing w:line="560" w:lineRule="exact"/>
        <w:rPr>
          <w:rFonts w:hint="default"/>
        </w:rPr>
      </w:pPr>
      <w:r>
        <w:rPr>
          <w:shd w:val="clear" w:color="auto" w:fill="FFFFFF"/>
        </w:rPr>
        <w:t>五、一般公共预算财政拨款支出决算表</w:t>
      </w:r>
    </w:p>
    <w:p>
      <w:pPr>
        <w:pStyle w:val="11"/>
        <w:shd w:val="clear" w:color="auto" w:fill="FFFFFF"/>
        <w:spacing w:line="560" w:lineRule="exact"/>
        <w:rPr>
          <w:rFonts w:hint="default"/>
        </w:rPr>
      </w:pPr>
      <w:r>
        <w:rPr>
          <w:shd w:val="clear" w:color="auto" w:fill="FFFFFF"/>
        </w:rPr>
        <w:t>六、一般公共预算财政拨款基本支出决算表</w:t>
      </w:r>
    </w:p>
    <w:p>
      <w:pPr>
        <w:pStyle w:val="11"/>
        <w:shd w:val="clear" w:color="auto" w:fill="FFFFFF"/>
        <w:spacing w:line="560" w:lineRule="exact"/>
        <w:rPr>
          <w:rFonts w:hint="default"/>
        </w:rPr>
      </w:pPr>
      <w:r>
        <w:rPr>
          <w:shd w:val="clear" w:color="auto" w:fill="FFFFFF"/>
        </w:rPr>
        <w:t>七、一般公共预算财政拨款“三公”经费支出决算表</w:t>
      </w:r>
    </w:p>
    <w:p>
      <w:pPr>
        <w:pStyle w:val="11"/>
        <w:shd w:val="clear" w:color="auto" w:fill="FFFFFF"/>
        <w:spacing w:line="560" w:lineRule="exact"/>
        <w:rPr>
          <w:rFonts w:hint="default"/>
        </w:rPr>
      </w:pPr>
      <w:r>
        <w:rPr>
          <w:shd w:val="clear" w:color="auto" w:fill="FFFFFF"/>
        </w:rPr>
        <w:t>八、政府性基金预算财政拨款收入支出决算表</w:t>
      </w:r>
    </w:p>
    <w:p>
      <w:pPr>
        <w:pStyle w:val="11"/>
        <w:shd w:val="clear" w:color="auto" w:fill="FFFFFF"/>
        <w:spacing w:line="560" w:lineRule="exact"/>
        <w:rPr>
          <w:rFonts w:hint="default"/>
        </w:rPr>
      </w:pPr>
      <w:r>
        <w:rPr>
          <w:shd w:val="clear" w:color="auto" w:fill="FFFFFF"/>
        </w:rPr>
        <w:t>九、国有资本经营预算财政拨款支出决算表</w:t>
      </w:r>
    </w:p>
    <w:p>
      <w:pPr>
        <w:pStyle w:val="11"/>
        <w:shd w:val="clear" w:color="auto" w:fill="FFFFFF"/>
        <w:spacing w:line="560" w:lineRule="exact"/>
        <w:rPr>
          <w:rFonts w:hint="default"/>
        </w:rPr>
      </w:pPr>
      <w:r>
        <w:rPr>
          <w:rStyle w:val="14"/>
          <w:rFonts w:cs="宋体"/>
          <w:shd w:val="clear" w:color="auto" w:fill="FFFFFF"/>
        </w:rPr>
        <w:t>第三部分  2020年度部门决算情况说明</w:t>
      </w:r>
    </w:p>
    <w:p>
      <w:pPr>
        <w:pStyle w:val="11"/>
        <w:shd w:val="clear" w:color="auto" w:fill="FFFFFF"/>
        <w:spacing w:line="560" w:lineRule="exact"/>
        <w:rPr>
          <w:rFonts w:hint="default"/>
        </w:rPr>
      </w:pPr>
      <w:r>
        <w:rPr>
          <w:shd w:val="clear" w:color="auto" w:fill="FFFFFF"/>
        </w:rPr>
        <w:t>一、收入支出决算总体情况说明</w:t>
      </w:r>
    </w:p>
    <w:p>
      <w:pPr>
        <w:pStyle w:val="11"/>
        <w:shd w:val="clear" w:color="auto" w:fill="FFFFFF"/>
        <w:spacing w:line="560" w:lineRule="exact"/>
        <w:rPr>
          <w:rFonts w:hint="default"/>
        </w:rPr>
      </w:pPr>
      <w:r>
        <w:rPr>
          <w:shd w:val="clear" w:color="auto" w:fill="FFFFFF"/>
        </w:rPr>
        <w:t>二、收入决算情况说明</w:t>
      </w:r>
    </w:p>
    <w:p>
      <w:pPr>
        <w:pStyle w:val="11"/>
        <w:shd w:val="clear" w:color="auto" w:fill="FFFFFF"/>
        <w:spacing w:line="560" w:lineRule="exact"/>
        <w:rPr>
          <w:rFonts w:hint="default"/>
        </w:rPr>
      </w:pPr>
      <w:r>
        <w:rPr>
          <w:shd w:val="clear" w:color="auto" w:fill="FFFFFF"/>
        </w:rPr>
        <w:t>三、支出决算情况说明</w:t>
      </w:r>
    </w:p>
    <w:p>
      <w:pPr>
        <w:pStyle w:val="11"/>
        <w:shd w:val="clear" w:color="auto" w:fill="FFFFFF"/>
        <w:spacing w:line="560" w:lineRule="exact"/>
        <w:rPr>
          <w:rFonts w:hint="default"/>
        </w:rPr>
      </w:pPr>
      <w:r>
        <w:rPr>
          <w:shd w:val="clear" w:color="auto" w:fill="FFFFFF"/>
        </w:rPr>
        <w:t>四、财政拨款收入支出决算总体情况说明</w:t>
      </w:r>
    </w:p>
    <w:p>
      <w:pPr>
        <w:pStyle w:val="11"/>
        <w:shd w:val="clear" w:color="auto" w:fill="FFFFFF"/>
        <w:spacing w:line="560" w:lineRule="exact"/>
        <w:rPr>
          <w:rFonts w:hint="default"/>
        </w:rPr>
      </w:pPr>
      <w:r>
        <w:rPr>
          <w:shd w:val="clear" w:color="auto" w:fill="FFFFFF"/>
        </w:rPr>
        <w:t>五、一般公共预算财政拨款支出决算情况说明</w:t>
      </w:r>
    </w:p>
    <w:p>
      <w:pPr>
        <w:pStyle w:val="11"/>
        <w:shd w:val="clear" w:color="auto" w:fill="FFFFFF"/>
        <w:spacing w:line="560" w:lineRule="exact"/>
        <w:rPr>
          <w:rFonts w:hint="default"/>
        </w:rPr>
      </w:pPr>
      <w:r>
        <w:rPr>
          <w:shd w:val="clear" w:color="auto" w:fill="FFFFFF"/>
        </w:rPr>
        <w:t>六、一般公共预算财政拨款基本支出决算情况说明</w:t>
      </w:r>
    </w:p>
    <w:p>
      <w:pPr>
        <w:pStyle w:val="11"/>
        <w:shd w:val="clear" w:color="auto" w:fill="FFFFFF"/>
        <w:spacing w:line="560" w:lineRule="exact"/>
        <w:rPr>
          <w:rFonts w:hint="default"/>
        </w:rPr>
      </w:pPr>
      <w:r>
        <w:rPr>
          <w:shd w:val="clear" w:color="auto" w:fill="FFFFFF"/>
        </w:rPr>
        <w:t>七、一般公共预算财政拨款“三公”经费支出决算情况说明</w:t>
      </w:r>
    </w:p>
    <w:p>
      <w:pPr>
        <w:pStyle w:val="11"/>
        <w:shd w:val="clear" w:color="auto" w:fill="FFFFFF"/>
        <w:spacing w:line="560" w:lineRule="exact"/>
        <w:rPr>
          <w:rFonts w:hint="default"/>
        </w:rPr>
      </w:pPr>
      <w:r>
        <w:rPr>
          <w:shd w:val="clear" w:color="auto" w:fill="FFFFFF"/>
        </w:rPr>
        <w:t>八、机关运行经费支出情况说明</w:t>
      </w:r>
    </w:p>
    <w:p>
      <w:pPr>
        <w:pStyle w:val="11"/>
        <w:shd w:val="clear" w:color="auto" w:fill="FFFFFF"/>
        <w:spacing w:line="560" w:lineRule="exact"/>
        <w:rPr>
          <w:rFonts w:hint="default"/>
        </w:rPr>
      </w:pPr>
      <w:r>
        <w:rPr>
          <w:shd w:val="clear" w:color="auto" w:fill="FFFFFF"/>
        </w:rPr>
        <w:t>九、政府采购支出情况说明</w:t>
      </w:r>
    </w:p>
    <w:p>
      <w:pPr>
        <w:pStyle w:val="11"/>
        <w:shd w:val="clear" w:color="auto" w:fill="FFFFFF"/>
        <w:spacing w:line="560" w:lineRule="exact"/>
        <w:rPr>
          <w:rFonts w:hint="default"/>
        </w:rPr>
      </w:pPr>
      <w:r>
        <w:rPr>
          <w:shd w:val="clear" w:color="auto" w:fill="FFFFFF"/>
        </w:rPr>
        <w:t>十、国有资产占用情况说明</w:t>
      </w:r>
    </w:p>
    <w:p>
      <w:pPr>
        <w:pStyle w:val="11"/>
        <w:shd w:val="clear" w:color="auto" w:fill="FFFFFF"/>
        <w:spacing w:line="560" w:lineRule="exact"/>
        <w:rPr>
          <w:rFonts w:hint="default"/>
        </w:rPr>
      </w:pPr>
      <w:r>
        <w:rPr>
          <w:shd w:val="clear" w:color="auto" w:fill="FFFFFF"/>
        </w:rPr>
        <w:t>十一、政府性基金预算财政拨款收支决算情况说明</w:t>
      </w:r>
    </w:p>
    <w:p>
      <w:pPr>
        <w:pStyle w:val="11"/>
        <w:shd w:val="clear" w:color="auto" w:fill="FFFFFF"/>
        <w:spacing w:line="560" w:lineRule="exact"/>
        <w:rPr>
          <w:rFonts w:hint="default"/>
        </w:rPr>
      </w:pPr>
      <w:r>
        <w:rPr>
          <w:shd w:val="clear" w:color="auto" w:fill="FFFFFF"/>
        </w:rPr>
        <w:t>十二、国有资本经营预算财政拨款支出情况说明</w:t>
      </w:r>
    </w:p>
    <w:p>
      <w:pPr>
        <w:pStyle w:val="11"/>
        <w:shd w:val="clear" w:color="auto" w:fill="FFFFFF"/>
        <w:spacing w:line="560" w:lineRule="exact"/>
        <w:rPr>
          <w:rFonts w:hint="default"/>
        </w:rPr>
      </w:pPr>
      <w:r>
        <w:rPr>
          <w:shd w:val="clear" w:color="auto" w:fill="FFFFFF"/>
        </w:rPr>
        <w:t>十三、预算绩效情况说明</w:t>
      </w:r>
    </w:p>
    <w:p>
      <w:pPr>
        <w:pStyle w:val="11"/>
        <w:shd w:val="clear" w:color="auto" w:fill="FFFFFF"/>
        <w:spacing w:line="560" w:lineRule="exact"/>
        <w:rPr>
          <w:rFonts w:hint="default"/>
        </w:rPr>
      </w:pPr>
      <w:r>
        <w:rPr>
          <w:rStyle w:val="14"/>
          <w:rFonts w:cs="宋体"/>
          <w:shd w:val="clear" w:color="auto" w:fill="FFFFFF"/>
        </w:rPr>
        <w:t>第四部分  名词解释</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rPr>
      </w:pPr>
      <w:r>
        <w:rPr>
          <w:shd w:val="clear" w:color="auto" w:fill="FFFFFF"/>
        </w:rPr>
        <w:t> </w:t>
      </w:r>
    </w:p>
    <w:p>
      <w:pPr>
        <w:pStyle w:val="11"/>
        <w:shd w:val="clear" w:color="auto" w:fill="FFFFFF"/>
        <w:jc w:val="center"/>
        <w:rPr>
          <w:rFonts w:hint="default"/>
          <w:shd w:val="clear" w:color="auto" w:fill="FFFFFF"/>
        </w:rPr>
      </w:pPr>
      <w:r>
        <w:rPr>
          <w:shd w:val="clear" w:color="auto" w:fill="FFFFFF"/>
        </w:rPr>
        <w:t> </w:t>
      </w:r>
    </w:p>
    <w:p>
      <w:pPr>
        <w:pStyle w:val="11"/>
        <w:shd w:val="clear" w:color="auto" w:fill="FFFFFF"/>
        <w:jc w:val="center"/>
        <w:rPr>
          <w:rStyle w:val="18"/>
          <w:rFonts w:hint="eastAsia" w:ascii="黑体" w:hAnsi="黑体" w:eastAsia="黑体" w:cs="黑体"/>
          <w:sz w:val="32"/>
          <w:szCs w:val="32"/>
          <w:shd w:val="clear" w:color="auto" w:fill="FFFFFF"/>
        </w:rPr>
      </w:pPr>
      <w:r>
        <w:rPr>
          <w:rStyle w:val="18"/>
          <w:rFonts w:hint="eastAsia" w:ascii="黑体" w:hAnsi="黑体" w:eastAsia="黑体" w:cs="黑体"/>
          <w:sz w:val="32"/>
          <w:szCs w:val="32"/>
          <w:shd w:val="clear" w:color="auto" w:fill="FFFFFF"/>
        </w:rPr>
        <w:t>第一部分  部门概括</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一、部门职责</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贯彻落实地质勘查相关法律法规及规程规范,执行国家和甘肃省出台的地质勘查行业政策，承担资质范围内基础性、公益性、战略性矿产资源调查与勘查工作；开展相关的地质科学研究和技术攻关，推广新技术、新工艺、新方法；承担资质范围（包括原有勘查资质和新办理取得的资质）内社会地质及技术服务工作；开展矿产资源开发与转化工作，发展多种经营；负责本单位安全质量管理、地质资料管理等工作；负责本单位党的建设、工会、共青团等工作；承办上级交办的其他事项。</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二、机构设置</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甘肃煤炭地质勘查院为公益二类事业单位,内设13个科（所）室，包括：行政办公室、党工人事部、纪检监察室、资产财务科、综合研究室、安全质量管理科、经营管理科、能源所、矿产所、环境所、水文所、地球物理勘探研究所、地质信息中心。</w:t>
      </w:r>
    </w:p>
    <w:p>
      <w:pPr>
        <w:widowControl w:val="0"/>
        <w:spacing w:line="560" w:lineRule="exact"/>
        <w:ind w:firstLine="643" w:firstLineChars="200"/>
        <w:jc w:val="center"/>
        <w:rPr>
          <w:rStyle w:val="18"/>
          <w:rFonts w:hint="eastAsia" w:ascii="黑体" w:hAnsi="黑体" w:eastAsia="黑体" w:cs="黑体"/>
          <w:sz w:val="32"/>
          <w:szCs w:val="32"/>
          <w:shd w:val="clear" w:color="auto" w:fill="FFFFFF"/>
        </w:rPr>
      </w:pPr>
      <w:r>
        <w:rPr>
          <w:rStyle w:val="18"/>
          <w:rFonts w:hint="eastAsia" w:ascii="黑体" w:hAnsi="黑体" w:eastAsia="黑体" w:cs="黑体"/>
          <w:sz w:val="32"/>
          <w:szCs w:val="32"/>
          <w:shd w:val="clear" w:color="auto" w:fill="FFFFFF"/>
        </w:rPr>
        <w:t>第二部分  2020年度部门决算表</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一、收入支出决算总表（见附件）</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二、收入决算表（见附件）</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三、支出决算表（见附件）</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四、财政拨款收入支出决算总表（见附件）</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五、一般公共预算财政拨款支出决算表（见附件）</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六、一般公共预算财政拨款基本支出决算表（见附件）</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七、一般公共预算财政拨款“三公”经费支出决算表（见附件）</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八、政府性基金预算财政拨款收入支出决算表（见附件，本部门没有相关数据，故本表无数据。）</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九、国有资本经营预算财政拨款支出决算表（见附件，本部门没有相关数据，故本表无数据。）</w:t>
      </w:r>
    </w:p>
    <w:p>
      <w:pPr>
        <w:widowControl w:val="0"/>
        <w:spacing w:line="600" w:lineRule="exact"/>
        <w:ind w:firstLine="964" w:firstLineChars="300"/>
        <w:jc w:val="center"/>
        <w:rPr>
          <w:rStyle w:val="18"/>
          <w:rFonts w:hint="eastAsia" w:ascii="黑体" w:hAnsi="黑体" w:eastAsia="黑体" w:cs="黑体"/>
          <w:sz w:val="32"/>
          <w:szCs w:val="32"/>
          <w:shd w:val="clear" w:color="auto" w:fill="FFFFFF"/>
        </w:rPr>
      </w:pPr>
      <w:r>
        <w:rPr>
          <w:rStyle w:val="18"/>
          <w:rFonts w:hint="eastAsia" w:ascii="黑体" w:hAnsi="黑体" w:eastAsia="黑体" w:cs="黑体"/>
          <w:sz w:val="32"/>
          <w:szCs w:val="32"/>
          <w:shd w:val="clear" w:color="auto" w:fill="FFFFFF"/>
        </w:rPr>
        <w:t>第三部分  2020年度部门决算情况说明</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一、收入支出决算总体情况说明</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2020年</w:t>
      </w:r>
      <w:r>
        <w:rPr>
          <w:rFonts w:ascii="仿宋_GB2312" w:hAnsi="仿宋_GB2312" w:eastAsia="仿宋_GB2312" w:cs="仿宋_GB2312"/>
          <w:sz w:val="32"/>
          <w:szCs w:val="32"/>
        </w:rPr>
        <w:t>度收、支总计2,495.18万元（其中: 一般公共预算财政拨款收入1,593.27万元、经营收入498.27万元、年初结转和结余403.64万元；支出总计包括：本年支出合计2,172.70万元、结余分配251.28万元、年末结转和结余71.2万元）。收支较上年决算数减少569.40万元、下降18.58%，主要原因一是经营收入较上年减少952.08万元，二是年初结转和结余较上年增加93.28万元，三是财政拨款较上年增加289.40万元。</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二、收入决算情况说明</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2020</w:t>
      </w:r>
      <w:r>
        <w:rPr>
          <w:rFonts w:ascii="仿宋_GB2312" w:hAnsi="仿宋_GB2312" w:eastAsia="仿宋_GB2312" w:cs="仿宋_GB2312"/>
          <w:sz w:val="32"/>
          <w:szCs w:val="32"/>
        </w:rPr>
        <w:t>年度收入合计2,091.54万元，较上年决算数减少662.68万元，下降24.06%，主要原因是一是经营收入较上年减少952.08万元，二是财政拨款较上年增加289.40万元。 其中：一般公共预算财政拨款收入1,593.27万元，占76.18%；经营收入498.27万元，占23.82%。此外，年初结转和结余403.64万元。</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三、支出决算情况说明</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2020年度支出合计2,172.70万元，较上年决算数减少0.90万元，下降0.04%，主要原因一是基本支出较上年增加49.40万元,二是项目支出较上年增加697.72万元,三是经营支出较上年减少748.02万元。其中：基本支出603.27万元，占27.77%；项目支出1,322.44万元，占60.86%；经营支出246.99万元，占11.37%。</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四、财政拨款收入支出决算总体情况说明</w:t>
      </w:r>
    </w:p>
    <w:p>
      <w:pPr>
        <w:widowControl w:val="0"/>
        <w:spacing w:line="560" w:lineRule="exact"/>
        <w:ind w:firstLine="640" w:firstLineChars="200"/>
        <w:jc w:val="both"/>
        <w:rPr>
          <w:rFonts w:hint="default"/>
        </w:rPr>
      </w:pPr>
      <w:r>
        <w:rPr>
          <w:rFonts w:ascii="楷体_GB2312" w:hAnsi="楷体_GB2312" w:eastAsia="楷体_GB2312" w:cs="楷体_GB2312"/>
          <w:sz w:val="32"/>
          <w:szCs w:val="32"/>
        </w:rPr>
        <w:t>2020年度财政拨款收、支总计1,996.91万元。与2019年相比，财政拨款收、支总计增加382.68万元，增长23.71%。主要原因一是省级地勘基金项目和省级基础地质调查项目收入较上年增加；二是我单位在职人员在不超编的情况下有所增加，人员经费支出有所增加</w:t>
      </w:r>
      <w:r>
        <w:t>。</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五、一般公共预算财政拨款支出决算情况说明</w:t>
      </w:r>
    </w:p>
    <w:p>
      <w:pPr>
        <w:widowControl w:val="0"/>
        <w:spacing w:line="560" w:lineRule="exact"/>
        <w:ind w:firstLine="640" w:firstLineChars="200"/>
        <w:jc w:val="both"/>
        <w:rPr>
          <w:rFonts w:hint="default" w:ascii="仿宋_GB2312" w:hAnsi="仿宋_GB2312" w:eastAsia="仿宋_GB2312" w:cs="仿宋_GB2312"/>
          <w:color w:val="FF0000"/>
          <w:sz w:val="32"/>
          <w:szCs w:val="32"/>
        </w:rPr>
      </w:pPr>
      <w:r>
        <w:rPr>
          <w:rFonts w:ascii="楷体_GB2312" w:hAnsi="楷体_GB2312" w:eastAsia="楷体_GB2312" w:cs="楷体_GB2312"/>
          <w:sz w:val="32"/>
          <w:szCs w:val="32"/>
        </w:rPr>
        <w:t>2020年度一般公共预算财政拨款支出1,925.71万元，较上年决算数增加747.12万元，增长63.39%。主要原因一是省级地勘基金项目和省级基础地质调查项目收入较上年增加，项目支出增加。二是我单位在职人员有所增加，人员经费支出有所增加。主要用于以下几个方面：</w:t>
      </w:r>
      <w:r>
        <w:rPr>
          <w:rFonts w:ascii="仿宋_GB2312" w:hAnsi="仿宋_GB2312" w:eastAsia="仿宋_GB2312" w:cs="仿宋_GB2312"/>
          <w:color w:val="FF0000"/>
          <w:sz w:val="32"/>
          <w:szCs w:val="32"/>
        </w:rPr>
        <w:t xml:space="preserve">                                                </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1．社会保障和就业支出年初预算数为78.39万元，支出决算为78.39万元，完成年初预算的100%，年初预算数与决算数一致。         </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2．卫生健康支出年初预算数为35.82万元，支出决算为35.82万元，完成年初预算的100.00%，年初预算数与决算数一致。</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3．资源勘探工业信息等支出年初预算数为453.73万元，支出决算为451.77万元，完成年初预算的99.57%，决算数大于预算数的主要原因是调减上缴总工会40%工会经费1.96万元。</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4．自然资源海洋气象等支出年初预算数为435.64万元，支出决算为1,322.44万元，完成年初预算的303.56%,决算数大于预算数的主要原因是2020年度追加2个省级地勘基金项目和1个省级基础地质调查项目，相应支出增加。</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5．住房保障支出年初预算数为37.29万元，支出决算为37.29万元，完成年初预算的100.00%,年初预算数与决算数一致。</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六、一般公共预算财政拨款基本支出决算情况说明</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2020年度一般公共预算财政拨款基本支出603.27万元。其中：人员经费568.52万元，较上年决算数增加48.82万元，增长9.39%，主要原因是落实机关事业单位职工工资提标政策，并调整与工资挂钩的经费标准。人员经费用途主要包括“基本工资、津贴补贴、机关事业单位基本养老保险缴费、职业年金缴费、职工基本医疗保险缴费、其他社会保险缴费、住房公积金”。公用经费34.75万元，较上年决算数增加0.58万元，增长1.70%，主要原因是疫情期间增加防疫支出。公用经费用途主要包括“办公费、水费、电费、取暖费、差旅费、培训费、公务接待费、工会经费、福利费、公务用车运行维护费、其他交通费、其他商品和服务支出”。</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七、一般公共预算财政拨款“三公”经费支出决算情况说明</w:t>
      </w:r>
    </w:p>
    <w:p>
      <w:pPr>
        <w:widowControl w:val="0"/>
        <w:spacing w:line="560" w:lineRule="exact"/>
        <w:ind w:firstLine="643" w:firstLineChars="200"/>
        <w:jc w:val="both"/>
        <w:rPr>
          <w:rFonts w:hint="default" w:ascii="仿宋_GB2312" w:hAnsi="仿宋_GB2312" w:eastAsia="仿宋_GB2312" w:cs="仿宋_GB2312"/>
          <w:b/>
          <w:bCs/>
          <w:sz w:val="32"/>
          <w:szCs w:val="32"/>
        </w:rPr>
      </w:pPr>
      <w:r>
        <w:rPr>
          <w:rFonts w:ascii="仿宋_GB2312" w:hAnsi="仿宋_GB2312" w:eastAsia="仿宋_GB2312" w:cs="仿宋_GB2312"/>
          <w:b/>
          <w:bCs/>
          <w:sz w:val="32"/>
          <w:szCs w:val="32"/>
        </w:rPr>
        <w:t>（一）“三公”经费财政拨款支出总体情况说明</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2020年度“三公”经费支出年初预算数为9.94万元，支出决算为9.37万元，完成年初预算的94.26%,决算数小于预算数的主要原因是是贯彻落实中央八项规定精神，按照过“紧日子”的要求，从严控制和压缩“三公”经费。</w:t>
      </w:r>
    </w:p>
    <w:p>
      <w:pPr>
        <w:widowControl w:val="0"/>
        <w:spacing w:line="560" w:lineRule="exact"/>
        <w:ind w:firstLine="643" w:firstLineChars="200"/>
        <w:jc w:val="both"/>
        <w:rPr>
          <w:rFonts w:hint="default" w:ascii="仿宋_GB2312" w:hAnsi="仿宋_GB2312" w:eastAsia="仿宋_GB2312" w:cs="仿宋_GB2312"/>
          <w:b/>
          <w:bCs/>
          <w:sz w:val="32"/>
          <w:szCs w:val="32"/>
        </w:rPr>
      </w:pPr>
      <w:r>
        <w:rPr>
          <w:rFonts w:ascii="仿宋_GB2312" w:hAnsi="仿宋_GB2312" w:eastAsia="仿宋_GB2312" w:cs="仿宋_GB2312"/>
          <w:b/>
          <w:bCs/>
          <w:sz w:val="32"/>
          <w:szCs w:val="32"/>
        </w:rPr>
        <w:t>（二）“三公”经费财政拨款支出决算具体情况说明</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1.因公出国（境）费用年初预算数为0.00万元，支出决算为0.00万元，完成年初预算的0.00%。 2020年我院未安排因公出国（境）费用，本年度未发生因公出国（境）费用。</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公务用车购置及运行维护费年初预算数为9.06万元，支出决算为8.81万元，完成年初预算的97.24%,决算数小于预算数的主要原是贯彻落实中央八项规定精神，按照过“紧日子”的要求，从严控制和压缩公务用车运行经费。</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其中：公务用车购置费年初预算数为0.00万元，支出决算为0.00万元，完成年初预算的0.00%。</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公务用车运行维护费年初预算数为9.06万元，支出决算为8.81万元，完成年初预算的97.24%,决算数小于预算数的主要原因是贯彻落实中央八项规定精神，按照过“紧日子”的要求，从严控制和压缩公务用车运行经费。</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3.公务接待费年初预算数为0.88万元，支出决算为0.56万元，完成年初预算的63.64%,决算数小于预算数的主要原因是贯彻落实中央八项规定精神，按照过“紧日子”的要求，从严控制和压缩公务接待费</w:t>
      </w:r>
    </w:p>
    <w:p>
      <w:pPr>
        <w:widowControl w:val="0"/>
        <w:spacing w:line="560" w:lineRule="exact"/>
        <w:ind w:firstLine="643" w:firstLineChars="200"/>
        <w:jc w:val="both"/>
        <w:rPr>
          <w:rFonts w:hint="default" w:ascii="仿宋_GB2312" w:hAnsi="仿宋_GB2312" w:eastAsia="仿宋_GB2312" w:cs="仿宋_GB2312"/>
          <w:sz w:val="32"/>
          <w:szCs w:val="32"/>
        </w:rPr>
      </w:pPr>
      <w:r>
        <w:rPr>
          <w:rFonts w:ascii="仿宋_GB2312" w:hAnsi="仿宋_GB2312" w:eastAsia="仿宋_GB2312" w:cs="仿宋_GB2312"/>
          <w:b/>
          <w:bCs/>
          <w:sz w:val="32"/>
          <w:szCs w:val="32"/>
        </w:rPr>
        <w:t>（三）“三公”经费财政拨款支出决算实物量情况</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2020年度本部门因公出国（境）共计0个团组，0人；公务用车购置0辆，公务用车保有量为4辆；国内公务接待7批次74人，其中：外事接待0批次，0人；国（境）外公务接待0批次，0人。</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八、机关运行经费支出情况说明</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我单位2020年度无机关运行经费。</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九、政府采购支出情况说明</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2020年度本部门政府采购支出合计250.04万元，其中：政府采购货物支出250.04万元、政府采购工程支出0.00万元、政府采购服务支出0.00万元。授予中小企业合同金额250.04万元，占政府采购支出总额的100.00%，其中：授予小微企业合同金额173.79万元，占政府采购支出总额的69.50%。</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十、国有资产占用情况说明</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截至2020年12月31日，本部门共有车辆4辆，其中，副部（省）级及以上领导用车0辆、主要领导干部用车0辆、机要通信用车0辆、应急保障用车0辆、执法执勤用车0辆，特种专业技术用车0辆，离退休干部用车0辆，其他用车4辆，其他用车主要是用于野外地质勘查车辆。单价50万元（含）以上通用设备0台（套），单价100万元（含）以上专用设备3台（套）。</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十一、政府性基金预算财政拨款收支决算情况说明</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本部门2020年度无政府性基金收入，也没有使用政府性基金安排的支出。</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十二、国有资本经营预算财政拨款支出情况说明</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本部门2020年度没有使用国有资本经营预算安排的支出。</w:t>
      </w:r>
    </w:p>
    <w:p>
      <w:pPr>
        <w:widowControl w:val="0"/>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十三、预算绩效情况说明</w:t>
      </w:r>
    </w:p>
    <w:p>
      <w:pPr>
        <w:widowControl w:val="0"/>
        <w:spacing w:line="560" w:lineRule="exact"/>
        <w:ind w:firstLine="643" w:firstLineChars="200"/>
        <w:jc w:val="both"/>
        <w:rPr>
          <w:rFonts w:hint="default" w:ascii="仿宋_GB2312" w:hAnsi="仿宋_GB2312" w:eastAsia="仿宋_GB2312" w:cs="仿宋_GB2312"/>
          <w:b/>
          <w:bCs/>
          <w:sz w:val="32"/>
          <w:szCs w:val="32"/>
        </w:rPr>
      </w:pPr>
      <w:r>
        <w:rPr>
          <w:rFonts w:ascii="仿宋_GB2312" w:hAnsi="仿宋_GB2312" w:eastAsia="仿宋_GB2312" w:cs="仿宋_GB2312"/>
          <w:b/>
          <w:bCs/>
          <w:sz w:val="32"/>
          <w:szCs w:val="32"/>
        </w:rPr>
        <w:t>（一）预算绩效管理工作开展情况</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根据《甘肃省财政厅关于开展2020年度省级预算执行情况绩效单位自评工作的通知》（甘财绩【2020】6号）要求，我院领导高度重视，立即组织相关人员召开会议，传达文件精神，为确保省级预算执行情况绩效评价工作的顺利开展，成立了院部门预算执行情况绩效评价工作领导小组，负责全院省级预算执行情况绩效评价工作。明确各部门职责及分工，资产财务科牵头负责单位整体支出绩效评价工作，综合研究室牵头负责项目支出绩效评价工作，经管科牵头负责经营项目绩效评价工作，涉及政府采购、资产管理、人员管理、重点工作管理、社会影响、组织建设、档案管理、信息化管理等相关部门配合。</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本部门对2020年度3个财政项目（2个地勘基金项目，1个基础地质调查项目）组织开展了绩效自评，涉及资金918.8万元，占一般公共预算项目支出总额的69.48%。其中：甘肃省灵台县百里东南部勘查区煤炭普查和甘肃省民勤县红崖山一带铅、锌、铁多金属矿调查2个项目自评结果为“优”，涉及资金482万元；甘肃省山丹县柴胡子沟勘查区煤炭详查自评结果为“良”，涉及资金436.8万元。（《自评表》详见附件）</w:t>
      </w:r>
    </w:p>
    <w:p>
      <w:pPr>
        <w:widowControl w:val="0"/>
        <w:spacing w:line="560" w:lineRule="exact"/>
        <w:ind w:firstLine="643" w:firstLineChars="200"/>
        <w:jc w:val="both"/>
        <w:rPr>
          <w:rFonts w:hint="default" w:ascii="仿宋_GB2312" w:hAnsi="仿宋_GB2312" w:eastAsia="仿宋_GB2312" w:cs="仿宋_GB2312"/>
          <w:b/>
          <w:bCs/>
          <w:sz w:val="32"/>
          <w:szCs w:val="32"/>
        </w:rPr>
      </w:pPr>
      <w:r>
        <w:rPr>
          <w:rFonts w:ascii="仿宋_GB2312" w:hAnsi="仿宋_GB2312" w:eastAsia="仿宋_GB2312" w:cs="仿宋_GB2312"/>
          <w:b/>
          <w:bCs/>
          <w:sz w:val="32"/>
          <w:szCs w:val="32"/>
        </w:rPr>
        <w:t>（二）绩效自评结果</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1.绩效目标自评表</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2020年我单位年度总体绩效目标基本达成预期指标：一是完成局下达的经济目标任务，收入完成下达指标的111.05%，利润完成下达指标的123.08%；二是2020年度我单位无安全事故；三是2020年度完成院党的建设目标责任和党的廉政目标责任。2020年度我单位总体绩效目标执行率为98.37%，自评结果优。</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发现问题及原因，我单位积极拓展市场业务，人员规模和市场实力不断壮大，市场业务份额虽有提高，但规模上存在不足；财政项目批复较晚，而且钻探施工前，需办理临时使用林地许可，相关周期较长。受冬季结冰施工困难影响，造成工期顺延。</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下一步改进措施，我</w:t>
      </w:r>
      <w:r>
        <w:rPr>
          <w:rFonts w:ascii="仿宋_GB2312" w:hAnsi="仿宋" w:eastAsia="仿宋_GB2312"/>
          <w:sz w:val="32"/>
          <w:szCs w:val="32"/>
        </w:rPr>
        <w:t>院将加快后续工作的实施，加强室内资料研究工作。尽快提交报告，汇交地质资料，完成项目决算。</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2.绩效自评报告或案例</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我单位对2020年度承担的3个财政项目以填报目标自评表形式开展自评，2020年度财政拨款为990万元，全年执行数为918.8万元，执行率为92.81%。现将甘肃省民勤县红崖山一带铅锌、铁多金属矿调查评价项目自评情况分析如下：</w:t>
      </w:r>
    </w:p>
    <w:p>
      <w:pPr>
        <w:widowControl w:val="0"/>
        <w:numPr>
          <w:ilvl w:val="0"/>
          <w:numId w:val="1"/>
        </w:numPr>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项目支出预算执行情况</w:t>
      </w:r>
    </w:p>
    <w:p>
      <w:pPr>
        <w:spacing w:line="560" w:lineRule="exact"/>
        <w:ind w:firstLine="640" w:firstLineChars="200"/>
        <w:rPr>
          <w:rFonts w:hint="default" w:ascii="仿宋_GB2312" w:hAnsi="仿宋" w:eastAsia="仿宋_GB2312"/>
          <w:sz w:val="32"/>
          <w:szCs w:val="32"/>
        </w:rPr>
      </w:pPr>
      <w:r>
        <w:rPr>
          <w:rFonts w:ascii="仿宋_GB2312" w:hAnsi="仿宋" w:eastAsia="仿宋_GB2312"/>
          <w:sz w:val="32"/>
          <w:szCs w:val="32"/>
        </w:rPr>
        <w:t>项目资金160万，全年执行数160万元，执行率100%。</w:t>
      </w:r>
    </w:p>
    <w:p>
      <w:pPr>
        <w:widowControl w:val="0"/>
        <w:numPr>
          <w:ilvl w:val="0"/>
          <w:numId w:val="1"/>
        </w:numPr>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总体绩效目标完成情况分析。</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预期目标：1:1万地质草测14.43</w:t>
      </w:r>
      <w:r>
        <w:rPr>
          <w:rFonts w:ascii="仿宋_GB2312" w:hAnsi="仿宋" w:eastAsia="仿宋_GB2312"/>
          <w:sz w:val="32"/>
          <w:szCs w:val="32"/>
        </w:rPr>
        <w:t>km</w:t>
      </w:r>
      <w:r>
        <w:rPr>
          <w:rFonts w:ascii="仿宋_GB2312" w:hAnsi="仿宋" w:eastAsia="仿宋_GB2312"/>
          <w:sz w:val="32"/>
          <w:szCs w:val="32"/>
          <w:vertAlign w:val="superscript"/>
        </w:rPr>
        <w:t>2</w:t>
      </w:r>
      <w:r>
        <w:rPr>
          <w:rFonts w:ascii="仿宋_GB2312" w:hAnsi="仿宋_GB2312" w:eastAsia="仿宋_GB2312" w:cs="仿宋_GB2312"/>
          <w:sz w:val="32"/>
          <w:szCs w:val="32"/>
        </w:rPr>
        <w:t>；1:1千地质剖面测量4.00km；槽探1500m</w:t>
      </w:r>
      <w:r>
        <w:rPr>
          <w:rFonts w:ascii="仿宋_GB2312" w:hAnsi="仿宋_GB2312" w:eastAsia="仿宋_GB2312" w:cs="仿宋_GB2312"/>
          <w:sz w:val="32"/>
          <w:szCs w:val="32"/>
          <w:vertAlign w:val="superscript"/>
        </w:rPr>
        <w:t>3</w:t>
      </w:r>
      <w:r>
        <w:rPr>
          <w:rFonts w:ascii="仿宋_GB2312" w:hAnsi="仿宋_GB2312" w:eastAsia="仿宋_GB2312" w:cs="仿宋_GB2312"/>
          <w:sz w:val="32"/>
          <w:szCs w:val="32"/>
        </w:rPr>
        <w:t>；钻孔330m；激电中梯(短导线)剖面测量10km；激电测深测量15个点；1:2千高精度磁测剖面10km；1:1万土壤测量10</w:t>
      </w:r>
      <w:r>
        <w:rPr>
          <w:rFonts w:ascii="仿宋_GB2312" w:hAnsi="仿宋" w:eastAsia="仿宋_GB2312"/>
          <w:sz w:val="32"/>
          <w:szCs w:val="32"/>
        </w:rPr>
        <w:t>km</w:t>
      </w:r>
      <w:r>
        <w:rPr>
          <w:rFonts w:ascii="仿宋_GB2312" w:hAnsi="仿宋" w:eastAsia="仿宋_GB2312"/>
          <w:sz w:val="32"/>
          <w:szCs w:val="32"/>
          <w:vertAlign w:val="superscript"/>
        </w:rPr>
        <w:t>2</w:t>
      </w:r>
      <w:r>
        <w:rPr>
          <w:rFonts w:ascii="仿宋_GB2312" w:hAnsi="仿宋_GB2312" w:eastAsia="仿宋_GB2312" w:cs="仿宋_GB2312"/>
          <w:sz w:val="32"/>
          <w:szCs w:val="32"/>
        </w:rPr>
        <w:t>；1:2千地化剖面测量5km；采集样品3100件；预期可提交进一步工作的铅锌铁多金属矿产地一处。</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实际完成情况：1:1万地质草测14.43km</w:t>
      </w:r>
      <w:r>
        <w:rPr>
          <w:rFonts w:ascii="仿宋_GB2312" w:hAnsi="仿宋_GB2312" w:eastAsia="仿宋_GB2312" w:cs="仿宋_GB2312"/>
          <w:sz w:val="32"/>
          <w:szCs w:val="32"/>
          <w:vertAlign w:val="superscript"/>
        </w:rPr>
        <w:t>2</w:t>
      </w:r>
      <w:r>
        <w:rPr>
          <w:rFonts w:ascii="仿宋_GB2312" w:hAnsi="仿宋_GB2312" w:eastAsia="仿宋_GB2312" w:cs="仿宋_GB2312"/>
          <w:sz w:val="32"/>
          <w:szCs w:val="32"/>
        </w:rPr>
        <w:t>；1:1千地质剖面测量4.00km；槽探1500m</w:t>
      </w:r>
      <w:r>
        <w:rPr>
          <w:rFonts w:ascii="仿宋_GB2312" w:hAnsi="仿宋_GB2312" w:eastAsia="仿宋_GB2312" w:cs="仿宋_GB2312"/>
          <w:sz w:val="32"/>
          <w:szCs w:val="32"/>
          <w:vertAlign w:val="superscript"/>
        </w:rPr>
        <w:t>3</w:t>
      </w:r>
      <w:r>
        <w:rPr>
          <w:rFonts w:ascii="仿宋_GB2312" w:hAnsi="仿宋_GB2312" w:eastAsia="仿宋_GB2312" w:cs="仿宋_GB2312"/>
          <w:sz w:val="32"/>
          <w:szCs w:val="32"/>
        </w:rPr>
        <w:t>；钻孔330m；激电中梯(短导线)剖面测量10km；激电测深测量15个点；1:2千高精度磁测剖面10km；1:1万土壤测量10km</w:t>
      </w:r>
      <w:r>
        <w:rPr>
          <w:rFonts w:ascii="仿宋_GB2312" w:hAnsi="仿宋_GB2312" w:eastAsia="仿宋_GB2312" w:cs="仿宋_GB2312"/>
          <w:sz w:val="32"/>
          <w:szCs w:val="32"/>
          <w:vertAlign w:val="superscript"/>
        </w:rPr>
        <w:t>2</w:t>
      </w:r>
      <w:r>
        <w:rPr>
          <w:rFonts w:ascii="仿宋_GB2312" w:hAnsi="仿宋_GB2312" w:eastAsia="仿宋_GB2312" w:cs="仿宋_GB2312"/>
          <w:sz w:val="32"/>
          <w:szCs w:val="32"/>
        </w:rPr>
        <w:t>；1:2千地化剖面测量5km；采集样品3100件；提交进一步工作的铅锌铁多金属矿产地一处。</w:t>
      </w:r>
    </w:p>
    <w:p>
      <w:pPr>
        <w:widowControl w:val="0"/>
        <w:numPr>
          <w:ilvl w:val="0"/>
          <w:numId w:val="1"/>
        </w:numPr>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各项指标完成情况分析</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产出指标：</w:t>
      </w:r>
    </w:p>
    <w:p>
      <w:pPr>
        <w:widowControl w:val="0"/>
        <w:numPr>
          <w:ilvl w:val="0"/>
          <w:numId w:val="2"/>
        </w:numPr>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数量指标：地质测量完成1:1万地质草测14.43km2，1:1千地质剖面测量4.00km，完成率100%；山地工程槽探完成1500m3</w:t>
      </w:r>
    </w:p>
    <w:p>
      <w:pPr>
        <w:widowControl w:val="0"/>
        <w:numPr>
          <w:ilvl w:val="0"/>
          <w:numId w:val="2"/>
        </w:numPr>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完成率100%。钻探工作完成3300m，完成率100%；地球物理勘探完成1:2000高精度磁测剖面10km；激电中梯(短导线)剖面测量10km；激电测深测量15个点，完成率100%；化探完成1:1万土壤测量10.00km2，1:2千地化剖面测量5km，完成率100%；采集样品完成3100件，完成率100%。</w:t>
      </w:r>
    </w:p>
    <w:p>
      <w:pPr>
        <w:widowControl w:val="0"/>
        <w:numPr>
          <w:ilvl w:val="0"/>
          <w:numId w:val="2"/>
        </w:numPr>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质量指标：验收合格率完成100%，收集资料可靠性完成100%，测试数据准确率完成100%。</w:t>
      </w:r>
    </w:p>
    <w:p>
      <w:pPr>
        <w:widowControl w:val="0"/>
        <w:numPr>
          <w:ilvl w:val="0"/>
          <w:numId w:val="2"/>
        </w:numPr>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时效指标：工作完成及时性实际完成86%。</w:t>
      </w:r>
    </w:p>
    <w:p>
      <w:pPr>
        <w:widowControl w:val="0"/>
        <w:numPr>
          <w:ilvl w:val="0"/>
          <w:numId w:val="2"/>
        </w:numPr>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成本指标：预算及费用实际完成160万元，完成率100%。</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效益指标：</w:t>
      </w:r>
    </w:p>
    <w:p>
      <w:pPr>
        <w:widowControl w:val="0"/>
        <w:numPr>
          <w:ilvl w:val="0"/>
          <w:numId w:val="3"/>
        </w:numPr>
        <w:spacing w:line="5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经济效益指标：根据现阶段工作程度，调查区内发现铁矿体一条，待后续工作量相继完成，有望发现具进一步工作价值的勘查靶区一处，完成率100%。</w:t>
      </w:r>
    </w:p>
    <w:p>
      <w:pPr>
        <w:widowControl w:val="0"/>
        <w:numPr>
          <w:ilvl w:val="0"/>
          <w:numId w:val="3"/>
        </w:numPr>
        <w:spacing w:line="5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社会效益指标：安全事故发生率为0，完成率100%；矿石品位不高，带动资源保障有限，该项目对自然资源保障、地方经济发展起到一定推动作用,完成值90%。</w:t>
      </w:r>
    </w:p>
    <w:p>
      <w:pPr>
        <w:widowControl w:val="0"/>
        <w:numPr>
          <w:ilvl w:val="0"/>
          <w:numId w:val="3"/>
        </w:numPr>
        <w:spacing w:line="5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生态效益指标：生态恢复规划方案健全性完成值100%。</w:t>
      </w:r>
    </w:p>
    <w:p>
      <w:pPr>
        <w:widowControl w:val="0"/>
        <w:numPr>
          <w:ilvl w:val="0"/>
          <w:numId w:val="3"/>
        </w:numPr>
        <w:spacing w:line="5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可持续影响指标：项目勘查投资带动资源增长，为社会发展提供资源保障完成率80%。</w:t>
      </w:r>
    </w:p>
    <w:p>
      <w:pPr>
        <w:widowControl w:val="0"/>
        <w:numPr>
          <w:ilvl w:val="0"/>
          <w:numId w:val="1"/>
        </w:numPr>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偏离绩效目标的原因及下一步改进措施</w:t>
      </w:r>
    </w:p>
    <w:p>
      <w:pPr>
        <w:spacing w:line="560" w:lineRule="exact"/>
        <w:ind w:firstLine="640" w:firstLineChars="200"/>
        <w:rPr>
          <w:rFonts w:hint="default" w:ascii="仿宋_GB2312" w:hAnsi="仿宋_GB2312" w:eastAsia="仿宋_GB2312" w:cs="仿宋_GB2312"/>
          <w:sz w:val="32"/>
          <w:szCs w:val="32"/>
        </w:rPr>
      </w:pPr>
      <w:r>
        <w:rPr>
          <w:rFonts w:ascii="仿宋_GB2312" w:hAnsi="仿宋" w:eastAsia="仿宋_GB2312"/>
          <w:sz w:val="32"/>
          <w:szCs w:val="32"/>
        </w:rPr>
        <w:t>项目批复时间较晚，冬季开展钻探施工，雨雪及低温天气影响较大，调查地区地形条件差，调查地区地形条件差，施工难度大，造成工作及时性存在一定差异。下一步工作中，严格管理，及时完成项目所有工作。</w:t>
      </w:r>
    </w:p>
    <w:p>
      <w:pPr>
        <w:widowControl w:val="0"/>
        <w:spacing w:line="560" w:lineRule="exact"/>
        <w:ind w:firstLine="643" w:firstLineChars="200"/>
        <w:jc w:val="both"/>
        <w:rPr>
          <w:rFonts w:hint="default" w:ascii="仿宋_GB2312" w:hAnsi="仿宋_GB2312" w:eastAsia="仿宋_GB2312" w:cs="仿宋_GB2312"/>
          <w:b/>
          <w:bCs/>
          <w:sz w:val="32"/>
          <w:szCs w:val="32"/>
        </w:rPr>
      </w:pPr>
      <w:r>
        <w:rPr>
          <w:rFonts w:ascii="仿宋_GB2312" w:hAnsi="仿宋_GB2312" w:eastAsia="仿宋_GB2312" w:cs="仿宋_GB2312"/>
          <w:b/>
          <w:bCs/>
          <w:sz w:val="32"/>
          <w:szCs w:val="32"/>
        </w:rPr>
        <w:t>（三）重点绩效评价结果</w:t>
      </w:r>
    </w:p>
    <w:p>
      <w:pPr>
        <w:widowControl w:val="0"/>
        <w:spacing w:line="560" w:lineRule="exact"/>
        <w:ind w:firstLine="640" w:firstLineChars="200"/>
        <w:jc w:val="both"/>
        <w:rPr>
          <w:rFonts w:hint="default" w:cs="宋体"/>
        </w:rPr>
      </w:pPr>
      <w:r>
        <w:rPr>
          <w:rFonts w:ascii="仿宋_GB2312" w:hAnsi="仿宋_GB2312" w:eastAsia="仿宋_GB2312" w:cs="仿宋_GB2312"/>
          <w:sz w:val="32"/>
          <w:szCs w:val="32"/>
        </w:rPr>
        <w:t>2020年我单位无经济社会发展类项目和其他类重点项目支出，所以未开展重点绩效评价工作，无重点绩效评价结果。</w:t>
      </w:r>
    </w:p>
    <w:p>
      <w:pPr>
        <w:pStyle w:val="17"/>
        <w:spacing w:before="0" w:beforeAutospacing="0" w:line="600" w:lineRule="exact"/>
        <w:ind w:firstLine="2570" w:firstLineChars="800"/>
        <w:jc w:val="both"/>
        <w:rPr>
          <w:rStyle w:val="18"/>
          <w:rFonts w:hint="eastAsia" w:ascii="黑体" w:hAnsi="黑体" w:eastAsia="黑体" w:cs="黑体"/>
          <w:sz w:val="32"/>
          <w:szCs w:val="32"/>
          <w:shd w:val="clear" w:color="auto" w:fill="FFFFFF"/>
        </w:rPr>
      </w:pPr>
      <w:r>
        <w:rPr>
          <w:rStyle w:val="18"/>
          <w:rFonts w:hint="eastAsia" w:ascii="黑体" w:hAnsi="黑体" w:eastAsia="黑体" w:cs="黑体"/>
          <w:sz w:val="32"/>
          <w:szCs w:val="32"/>
          <w:shd w:val="clear" w:color="auto" w:fill="FFFFFF"/>
        </w:rPr>
        <w:t>第四部分  名词解释</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以下为常见专业名词解释目录，仅供参考，部门应根据实际情况进行解释和增减。比如可将类级功能科目和经济科目细化解释到项级。若有删减注意调整段落序号。</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一、财政拨款收入：</w:t>
      </w:r>
      <w:r>
        <w:rPr>
          <w:rFonts w:ascii="仿宋_GB2312" w:hAnsi="仿宋_GB2312" w:eastAsia="仿宋_GB2312" w:cs="仿宋_GB2312"/>
          <w:sz w:val="32"/>
          <w:szCs w:val="32"/>
        </w:rPr>
        <w:t>指本年度从本级财政部门取得的财政拨款，包括一般公共预算财政拨款和政府性基金预算财政拨款。</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二、事业收入：</w:t>
      </w:r>
      <w:r>
        <w:rPr>
          <w:rFonts w:ascii="仿宋_GB2312" w:hAnsi="仿宋_GB2312" w:eastAsia="仿宋_GB2312" w:cs="仿宋_GB2312"/>
          <w:sz w:val="32"/>
          <w:szCs w:val="32"/>
        </w:rPr>
        <w:t>指事业单位开展专业业务活动及其辅助活动取得的现金流入；事业单位收到的财政专户实际核拨的教育收费等资金在此反映。</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三、经营收入：</w:t>
      </w:r>
      <w:r>
        <w:rPr>
          <w:rFonts w:ascii="仿宋_GB2312" w:hAnsi="仿宋_GB2312" w:eastAsia="仿宋_GB2312" w:cs="仿宋_GB2312"/>
          <w:sz w:val="32"/>
          <w:szCs w:val="32"/>
        </w:rPr>
        <w:t>指事业单位在专业业务活动及其辅助活动之外开展非独立核算经营活动取得的现金流入。</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四、其他收入：</w:t>
      </w:r>
      <w:r>
        <w:rPr>
          <w:rFonts w:ascii="仿宋_GB2312" w:hAnsi="仿宋_GB2312" w:eastAsia="仿宋_GB2312" w:cs="仿宋_GB231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五、用事业基金弥补收支差额：</w:t>
      </w:r>
      <w:r>
        <w:rPr>
          <w:rFonts w:ascii="仿宋_GB2312" w:hAnsi="仿宋_GB2312" w:eastAsia="仿宋_GB2312" w:cs="仿宋_GB2312"/>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六、年初结转和结余：</w:t>
      </w:r>
      <w:r>
        <w:rPr>
          <w:rFonts w:ascii="仿宋_GB2312" w:hAnsi="仿宋_GB2312" w:eastAsia="仿宋_GB2312" w:cs="仿宋_GB2312"/>
          <w:sz w:val="32"/>
          <w:szCs w:val="32"/>
        </w:rPr>
        <w:t>指单位上年结转本年使用的基本支出结转、项目支出结转和结余、经营结余。</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七、结余分配：</w:t>
      </w:r>
      <w:r>
        <w:rPr>
          <w:rFonts w:ascii="仿宋_GB2312" w:hAnsi="仿宋_GB2312" w:eastAsia="仿宋_GB2312" w:cs="仿宋_GB2312"/>
          <w:sz w:val="32"/>
          <w:szCs w:val="32"/>
        </w:rPr>
        <w:t>指单位按照国家有关规定，缴纳所得税、提取专用基金、转入事业基金等当年结余的分配情况。</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八、年末结转和结余：</w:t>
      </w:r>
      <w:r>
        <w:rPr>
          <w:rFonts w:ascii="仿宋_GB2312" w:hAnsi="仿宋_GB2312" w:eastAsia="仿宋_GB2312" w:cs="仿宋_GB2312"/>
          <w:sz w:val="32"/>
          <w:szCs w:val="32"/>
        </w:rPr>
        <w:t>指单位结转下年的基本支出结转、项目支出结转和结余、经营结余。</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九、基本支出：</w:t>
      </w:r>
      <w:r>
        <w:rPr>
          <w:rFonts w:ascii="仿宋_GB2312" w:hAnsi="仿宋_GB2312" w:eastAsia="仿宋_GB2312" w:cs="仿宋_GB231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十、项目支出：</w:t>
      </w:r>
      <w:r>
        <w:rPr>
          <w:rFonts w:ascii="仿宋_GB2312" w:hAnsi="仿宋_GB2312" w:eastAsia="仿宋_GB2312" w:cs="仿宋_GB2312"/>
          <w:sz w:val="32"/>
          <w:szCs w:val="32"/>
        </w:rPr>
        <w:t>指在基本支出之外为完成特定行政任务和事业发展目标所发生的支出。</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十一、经营支出：</w:t>
      </w:r>
      <w:r>
        <w:rPr>
          <w:rFonts w:ascii="仿宋_GB2312" w:hAnsi="仿宋_GB2312" w:eastAsia="仿宋_GB2312" w:cs="仿宋_GB2312"/>
          <w:sz w:val="32"/>
          <w:szCs w:val="32"/>
        </w:rPr>
        <w:t>指事业单位在专业业务活动及其辅助活动之外开展非独立核算经营活动发生的支出。</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十二、“三公”经费：</w:t>
      </w:r>
      <w:r>
        <w:rPr>
          <w:rFonts w:ascii="仿宋_GB2312" w:hAnsi="仿宋_GB2312" w:eastAsia="仿宋_GB2312" w:cs="仿宋_GB231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十三、工资福利支出（支出经济分类科目类级）：</w:t>
      </w:r>
      <w:r>
        <w:rPr>
          <w:rFonts w:ascii="仿宋_GB2312" w:hAnsi="仿宋_GB2312" w:eastAsia="仿宋_GB2312" w:cs="仿宋_GB2312"/>
          <w:sz w:val="32"/>
          <w:szCs w:val="32"/>
        </w:rPr>
        <w:t>反映单位开支的在职职工和编制外长期聘用人员的各类劳动报酬，以及为上述人员缴纳的各项社会保险费等。</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十四、商品和服务支出（支出经济分类科目类级）：</w:t>
      </w:r>
      <w:r>
        <w:rPr>
          <w:rFonts w:ascii="仿宋_GB2312" w:hAnsi="仿宋_GB2312" w:eastAsia="仿宋_GB2312" w:cs="仿宋_GB2312"/>
          <w:sz w:val="32"/>
          <w:szCs w:val="32"/>
        </w:rPr>
        <w:t>反映单位购买商品和服务的支出（不包括用于购置固定资产的支出、战略性和应急储备支出）。</w:t>
      </w:r>
    </w:p>
    <w:p>
      <w:pPr>
        <w:widowControl w:val="0"/>
        <w:spacing w:line="560" w:lineRule="exact"/>
        <w:ind w:firstLine="640" w:firstLineChars="200"/>
        <w:jc w:val="both"/>
        <w:rPr>
          <w:rFonts w:hint="default" w:ascii="仿宋_GB2312" w:hAnsi="仿宋_GB2312" w:eastAsia="仿宋_GB2312" w:cs="仿宋_GB2312"/>
          <w:sz w:val="32"/>
          <w:szCs w:val="32"/>
        </w:rPr>
      </w:pPr>
      <w:r>
        <w:rPr>
          <w:rFonts w:ascii="楷体_GB2312" w:hAnsi="楷体_GB2312" w:eastAsia="楷体_GB2312" w:cs="楷体_GB2312"/>
          <w:sz w:val="32"/>
          <w:szCs w:val="32"/>
        </w:rPr>
        <w:t>十五、对个人和家庭的补助（支出经济分类科目类级）：</w:t>
      </w:r>
      <w:r>
        <w:rPr>
          <w:rFonts w:ascii="仿宋_GB2312" w:hAnsi="仿宋_GB2312" w:eastAsia="仿宋_GB2312" w:cs="仿宋_GB2312"/>
          <w:sz w:val="32"/>
          <w:szCs w:val="32"/>
        </w:rPr>
        <w:t>反映用于对个人和家庭的补助支出。</w:t>
      </w:r>
    </w:p>
    <w:p>
      <w:pPr>
        <w:pStyle w:val="17"/>
        <w:spacing w:before="0" w:beforeAutospacing="0" w:line="560" w:lineRule="exact"/>
        <w:ind w:firstLine="640" w:firstLineChars="200"/>
        <w:jc w:val="both"/>
        <w:rPr>
          <w:rFonts w:hint="default"/>
        </w:rPr>
      </w:pPr>
      <w:r>
        <w:rPr>
          <w:rFonts w:ascii="楷体_GB2312" w:hAnsi="楷体_GB2312" w:eastAsia="楷体_GB2312" w:cs="楷体_GB2312"/>
          <w:sz w:val="32"/>
          <w:szCs w:val="32"/>
        </w:rPr>
        <w:t>十六、其他资本性支出（支出经济分类科目类级）：</w:t>
      </w:r>
      <w:r>
        <w:rPr>
          <w:rFonts w:ascii="仿宋_GB2312" w:hAnsi="仿宋_GB2312" w:eastAsia="仿宋_GB2312" w:cs="仿宋_GB2312"/>
          <w:sz w:val="32"/>
          <w:szCs w:val="32"/>
        </w:rPr>
        <w:t>反映非各级发展与改革部门集中安排的用于购置固定资产、战略性和应急性储备、土地和无形资产，以及构建基础设施、大型修缮和财政支持企业更新改造所发生的支出。</w:t>
      </w:r>
    </w:p>
    <w:sectPr>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20454"/>
    <w:multiLevelType w:val="singleLevel"/>
    <w:tmpl w:val="9E720454"/>
    <w:lvl w:ilvl="0" w:tentative="0">
      <w:start w:val="1"/>
      <w:numFmt w:val="decimalEnclosedCircleChinese"/>
      <w:suff w:val="nothing"/>
      <w:lvlText w:val="%1　"/>
      <w:lvlJc w:val="left"/>
      <w:pPr>
        <w:ind w:left="0" w:firstLine="400"/>
      </w:pPr>
      <w:rPr>
        <w:rFonts w:hint="eastAsia"/>
      </w:rPr>
    </w:lvl>
  </w:abstractNum>
  <w:abstractNum w:abstractNumId="1">
    <w:nsid w:val="9FF589FB"/>
    <w:multiLevelType w:val="singleLevel"/>
    <w:tmpl w:val="9FF589FB"/>
    <w:lvl w:ilvl="0" w:tentative="0">
      <w:start w:val="1"/>
      <w:numFmt w:val="decimal"/>
      <w:suff w:val="nothing"/>
      <w:lvlText w:val="（%1）"/>
      <w:lvlJc w:val="left"/>
    </w:lvl>
  </w:abstractNum>
  <w:abstractNum w:abstractNumId="2">
    <w:nsid w:val="F6F74EF9"/>
    <w:multiLevelType w:val="singleLevel"/>
    <w:tmpl w:val="F6F74EF9"/>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8CB"/>
    <w:rsid w:val="00067745"/>
    <w:rsid w:val="00211600"/>
    <w:rsid w:val="0028029A"/>
    <w:rsid w:val="002F6029"/>
    <w:rsid w:val="00375E25"/>
    <w:rsid w:val="006840C1"/>
    <w:rsid w:val="006D005F"/>
    <w:rsid w:val="008C6313"/>
    <w:rsid w:val="008F7C19"/>
    <w:rsid w:val="00A7145C"/>
    <w:rsid w:val="00A738CB"/>
    <w:rsid w:val="00C34B20"/>
    <w:rsid w:val="00CB6581"/>
    <w:rsid w:val="00CF4E5F"/>
    <w:rsid w:val="00D22D16"/>
    <w:rsid w:val="00E21952"/>
    <w:rsid w:val="00E93427"/>
    <w:rsid w:val="00E96BB5"/>
    <w:rsid w:val="00F67412"/>
    <w:rsid w:val="00FE0C63"/>
    <w:rsid w:val="05912378"/>
    <w:rsid w:val="08F2749D"/>
    <w:rsid w:val="0D79682C"/>
    <w:rsid w:val="105E6A89"/>
    <w:rsid w:val="10B43B16"/>
    <w:rsid w:val="1501270B"/>
    <w:rsid w:val="178A256C"/>
    <w:rsid w:val="199F61C2"/>
    <w:rsid w:val="1C0043A9"/>
    <w:rsid w:val="1E8338A1"/>
    <w:rsid w:val="20190ACC"/>
    <w:rsid w:val="20B306C8"/>
    <w:rsid w:val="22EF768E"/>
    <w:rsid w:val="25A61813"/>
    <w:rsid w:val="2D3F09B6"/>
    <w:rsid w:val="2F9A06B3"/>
    <w:rsid w:val="2FEF1337"/>
    <w:rsid w:val="32241716"/>
    <w:rsid w:val="36F941F4"/>
    <w:rsid w:val="3D372CD1"/>
    <w:rsid w:val="42776416"/>
    <w:rsid w:val="42B91813"/>
    <w:rsid w:val="48310E81"/>
    <w:rsid w:val="4A63173F"/>
    <w:rsid w:val="4DF03882"/>
    <w:rsid w:val="52BF413B"/>
    <w:rsid w:val="5CD41AC5"/>
    <w:rsid w:val="68B513A1"/>
    <w:rsid w:val="6F207E0C"/>
    <w:rsid w:val="708C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9"/>
    <w:pPr>
      <w:spacing w:beforeAutospacing="1" w:afterAutospacing="1"/>
      <w:outlineLvl w:val="0"/>
    </w:pPr>
    <w:rPr>
      <w:b/>
      <w:bCs/>
      <w:kern w:val="44"/>
      <w:sz w:val="48"/>
      <w:szCs w:val="48"/>
    </w:rPr>
  </w:style>
  <w:style w:type="paragraph" w:styleId="3">
    <w:name w:val="heading 2"/>
    <w:basedOn w:val="1"/>
    <w:next w:val="1"/>
    <w:qFormat/>
    <w:uiPriority w:val="9"/>
    <w:pPr>
      <w:spacing w:beforeAutospacing="1" w:afterAutospacing="1"/>
      <w:outlineLvl w:val="1"/>
    </w:pPr>
    <w:rPr>
      <w:b/>
      <w:bCs/>
      <w:sz w:val="36"/>
      <w:szCs w:val="36"/>
    </w:rPr>
  </w:style>
  <w:style w:type="paragraph" w:styleId="4">
    <w:name w:val="heading 3"/>
    <w:basedOn w:val="1"/>
    <w:next w:val="1"/>
    <w:qFormat/>
    <w:uiPriority w:val="9"/>
    <w:pPr>
      <w:spacing w:beforeAutospacing="1" w:afterAutospacing="1"/>
      <w:outlineLvl w:val="2"/>
    </w:pPr>
    <w:rPr>
      <w:b/>
      <w:bCs/>
      <w:sz w:val="27"/>
      <w:szCs w:val="27"/>
    </w:rPr>
  </w:style>
  <w:style w:type="paragraph" w:styleId="5">
    <w:name w:val="heading 4"/>
    <w:basedOn w:val="1"/>
    <w:next w:val="1"/>
    <w:qFormat/>
    <w:uiPriority w:val="9"/>
    <w:pPr>
      <w:spacing w:beforeAutospacing="1" w:afterAutospacing="1"/>
      <w:outlineLvl w:val="3"/>
    </w:pPr>
    <w:rPr>
      <w:b/>
      <w:bCs/>
    </w:rPr>
  </w:style>
  <w:style w:type="paragraph" w:styleId="6">
    <w:name w:val="heading 5"/>
    <w:basedOn w:val="1"/>
    <w:next w:val="1"/>
    <w:qFormat/>
    <w:uiPriority w:val="9"/>
    <w:pPr>
      <w:spacing w:beforeAutospacing="1" w:afterAutospacing="1"/>
      <w:outlineLvl w:val="4"/>
    </w:pPr>
    <w:rPr>
      <w:b/>
      <w:bCs/>
      <w:sz w:val="20"/>
      <w:szCs w:val="20"/>
    </w:rPr>
  </w:style>
  <w:style w:type="paragraph" w:styleId="7">
    <w:name w:val="heading 6"/>
    <w:basedOn w:val="1"/>
    <w:next w:val="1"/>
    <w:qFormat/>
    <w:uiPriority w:val="9"/>
    <w:pPr>
      <w:spacing w:beforeAutospacing="1" w:afterAutospacing="1"/>
      <w:outlineLvl w:val="5"/>
    </w:pPr>
    <w:rPr>
      <w:b/>
      <w:bCs/>
      <w:sz w:val="15"/>
      <w:szCs w:val="15"/>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6"/>
    <w:semiHidden/>
    <w:unhideWhenUsed/>
    <w:qFormat/>
    <w:uiPriority w:val="99"/>
    <w:pPr>
      <w:tabs>
        <w:tab w:val="center" w:pos="4153"/>
        <w:tab w:val="right" w:pos="8306"/>
      </w:tabs>
      <w:snapToGrid w:val="0"/>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default" w:ascii="Courier New" w:hAnsi="Courier New"/>
      <w:sz w:val="20"/>
      <w:szCs w:val="20"/>
    </w:rPr>
  </w:style>
  <w:style w:type="paragraph" w:styleId="11">
    <w:name w:val="Normal (Web)"/>
    <w:basedOn w:val="1"/>
    <w:semiHidden/>
    <w:unhideWhenUsed/>
    <w:uiPriority w:val="99"/>
    <w:pPr>
      <w:spacing w:beforeAutospacing="1" w:afterAutospacing="1"/>
    </w:pPr>
  </w:style>
  <w:style w:type="character" w:styleId="14">
    <w:name w:val="Strong"/>
    <w:basedOn w:val="13"/>
    <w:qFormat/>
    <w:uiPriority w:val="22"/>
    <w:rPr>
      <w:b/>
    </w:rPr>
  </w:style>
  <w:style w:type="character" w:customStyle="1" w:styleId="15">
    <w:name w:val="页眉 Char"/>
    <w:basedOn w:val="13"/>
    <w:link w:val="9"/>
    <w:locked/>
    <w:uiPriority w:val="0"/>
    <w:rPr>
      <w:rFonts w:hint="eastAsia" w:ascii="宋体" w:hAnsi="宋体" w:eastAsia="宋体" w:cs="宋体"/>
      <w:sz w:val="18"/>
      <w:szCs w:val="18"/>
    </w:rPr>
  </w:style>
  <w:style w:type="character" w:customStyle="1" w:styleId="16">
    <w:name w:val="页脚 Char"/>
    <w:basedOn w:val="13"/>
    <w:link w:val="8"/>
    <w:qFormat/>
    <w:locked/>
    <w:uiPriority w:val="0"/>
    <w:rPr>
      <w:rFonts w:hint="eastAsia" w:ascii="宋体" w:hAnsi="宋体" w:eastAsia="宋体" w:cs="宋体"/>
      <w:sz w:val="18"/>
      <w:szCs w:val="18"/>
    </w:rPr>
  </w:style>
  <w:style w:type="paragraph" w:customStyle="1" w:styleId="17">
    <w:name w:val="普通(网站) Char"/>
    <w:basedOn w:val="1"/>
    <w:qFormat/>
    <w:uiPriority w:val="0"/>
    <w:pPr>
      <w:spacing w:before="100" w:beforeAutospacing="1" w:after="100" w:afterAutospacing="1"/>
    </w:pPr>
  </w:style>
  <w:style w:type="character" w:customStyle="1" w:styleId="18">
    <w:name w:val="19"/>
    <w:basedOn w:val="1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1124</Words>
  <Characters>6408</Characters>
  <Lines>53</Lines>
  <Paragraphs>15</Paragraphs>
  <TotalTime>38</TotalTime>
  <ScaleCrop>false</ScaleCrop>
  <LinksUpToDate>false</LinksUpToDate>
  <CharactersWithSpaces>7517</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2021-08-31T08:19:00Z</dcterms:created>
  <dc:creator>Administrator</dc:creator>
  <cp:lastModifiedBy>Administrator</cp:lastModifiedBy>
  <dcterms:modified xsi:type="dcterms:W3CDTF">2021-09-01T09:13:36Z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C3674446A1B04D648EC05AAC298769D2</vt:lpwstr>
  </property>
</Properties>
</file>