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lang w:val="en-US" w:eastAsia="zh-CN"/>
        </w:rPr>
      </w:pPr>
      <w:r>
        <w:rPr>
          <w:rFonts w:hint="eastAsia"/>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Times New Roman"/>
          <w:kern w:val="0"/>
          <w:sz w:val="32"/>
          <w:szCs w:val="32"/>
          <w:shd w:val="clear" w:color="auto" w:fill="FFFFFF"/>
          <w:lang w:bidi="ar-SA"/>
        </w:rPr>
      </w:pPr>
      <w:r>
        <w:rPr>
          <w:rFonts w:hint="eastAsia" w:ascii="宋体" w:hAnsi="宋体" w:eastAsia="宋体" w:cs="Times New Roman"/>
          <w:kern w:val="0"/>
          <w:sz w:val="32"/>
          <w:szCs w:val="32"/>
          <w:shd w:val="clear" w:color="auto" w:fill="FFFFFF"/>
          <w:lang w:bidi="ar-SA"/>
        </w:rPr>
        <w:t>2021年度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Times New Roman"/>
          <w:kern w:val="0"/>
          <w:sz w:val="32"/>
          <w:szCs w:val="32"/>
          <w:shd w:val="clear" w:color="auto" w:fill="FFFFFF"/>
          <w:lang w:bidi="ar-SA"/>
        </w:rPr>
      </w:pPr>
      <w:r>
        <w:rPr>
          <w:rFonts w:hint="eastAsia" w:ascii="宋体" w:hAnsi="宋体" w:eastAsia="宋体" w:cs="Times New Roman"/>
          <w:kern w:val="0"/>
          <w:sz w:val="32"/>
          <w:szCs w:val="32"/>
          <w:shd w:val="clear" w:color="auto" w:fill="FFFFFF"/>
          <w:lang w:bidi="ar-SA"/>
        </w:rPr>
        <w:t>甘肃煤炭地质勘查院部门决算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Style w:val="5"/>
        </w:rPr>
        <w:t>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第一部分 部门概括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一、部门职责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二、机构设置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第二部分 2021年度部门决算表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一、收入支出决算总表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二、收入决算表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三、支出决算表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四、财政拨款收入支出决算总表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五、一般公共预算财政拨款支出决算表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六、一般公共预算财政拨款基本支出决算表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七、一般公共预算财政拨款“三公”经费支出决算表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八、政府性基金预算财政拨款收入支出决算表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九、国有资本经营预算财政拨款支出决算表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第三部分 2021年度部门决算情况说明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一、收入支出决算总体情况说明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二、收入决算情况说明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三、支出决算情况说明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四、财政拨款收入支出决算总体情况说明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五、一般公共预算财政拨款支出决算情况说明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六、一般公共预算财政拨款基本支出决算情况说明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七、一般公共预算财政拨款“三公”经费支出决算情况说明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八、机关运行经费支出情况说明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九、政府采购支出情况说明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十、国有资产占用情况说明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十一、政府性基金预算财政拨款收支决算情况说明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十二、国有资本经营预算财政拨款支出情况说明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t>十三、预算绩效情况说明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第四部分 名词解释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6"/>
          <w:rFonts w:hint="eastAsia" w:ascii="黑体" w:hAnsi="黑体" w:eastAsia="黑体" w:cs="黑体"/>
          <w:kern w:val="0"/>
          <w:sz w:val="32"/>
          <w:szCs w:val="32"/>
          <w:shd w:val="clear" w:color="auto" w:fill="FFFFFF"/>
          <w:lang w:val="en-US" w:eastAsia="zh-CN" w:bidi="ar-SA"/>
        </w:rPr>
      </w:pPr>
      <w:r>
        <w:rPr>
          <w:rStyle w:val="6"/>
          <w:rFonts w:hint="eastAsia" w:ascii="黑体" w:hAnsi="黑体" w:eastAsia="黑体" w:cs="黑体"/>
          <w:kern w:val="0"/>
          <w:sz w:val="32"/>
          <w:szCs w:val="32"/>
          <w:shd w:val="clear" w:color="auto" w:fill="FFFFFF"/>
          <w:lang w:val="en-US" w:eastAsia="zh-CN" w:bidi="ar-SA"/>
        </w:rPr>
        <w:t>第一部分 部门概括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一、部门职责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pPr>
      <w:r>
        <w:rPr>
          <w:rFonts w:ascii="仿宋_GB2312" w:hAnsi="仿宋_GB2312" w:eastAsia="仿宋_GB2312" w:cs="仿宋_GB2312"/>
          <w:sz w:val="32"/>
          <w:szCs w:val="32"/>
        </w:rPr>
        <w:t>贯彻落实地质勘查相关法律法规及规程规范,执行国家和甘肃省出台的地质勘查行业政策，承担资质范围内基础性、公益性、战略性矿产资源调查与勘查工作；开展相关的地质科学研究和技术攻关，推广新技术、新工艺、新方法；承担资质范围（包括原有勘查资质和新办理取得的资质）内社会地质及技术服务工作；开展矿产资源开发与转化工作，发展多种经营；负责本单位安全质量管理、地质资料管理等工作；负责本单位党的建设、工会、共青团等工作；承办上级交办的其他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煤炭地质勘查院为公益二类事业单位,内设13个科（所）室，包括：行政办公室、党工人事部、纪检监察室、资产财务科、综合研究室、安全质量管理科、经营管理科、能源所、矿产所、环境所、水文所、地球物理勘探研究所、地质信息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center"/>
        <w:textAlignment w:val="auto"/>
        <w:rPr>
          <w:rStyle w:val="6"/>
          <w:rFonts w:hint="eastAsia" w:ascii="黑体" w:hAnsi="黑体" w:eastAsia="黑体" w:cs="黑体"/>
          <w:kern w:val="0"/>
          <w:sz w:val="32"/>
          <w:szCs w:val="32"/>
          <w:shd w:val="clear" w:color="auto" w:fill="FFFFFF"/>
        </w:rPr>
      </w:pPr>
      <w:r>
        <w:rPr>
          <w:rStyle w:val="6"/>
          <w:rFonts w:hint="eastAsia" w:ascii="黑体" w:hAnsi="黑体" w:eastAsia="黑体" w:cs="黑体"/>
          <w:kern w:val="0"/>
          <w:sz w:val="32"/>
          <w:szCs w:val="32"/>
          <w:shd w:val="clear" w:color="auto" w:fill="FFFFFF"/>
        </w:rPr>
        <w:t>第二部分 2021年度部门决算表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一、收入支出决算总表</w:t>
      </w:r>
      <w:r>
        <w:rPr>
          <w:rFonts w:ascii="楷体_GB2312" w:hAnsi="楷体_GB2312" w:eastAsia="楷体_GB2312" w:cs="楷体_GB2312"/>
          <w:sz w:val="32"/>
          <w:szCs w:val="32"/>
        </w:rPr>
        <w:t>（见附件）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二、收入决算表</w:t>
      </w:r>
      <w:r>
        <w:rPr>
          <w:rFonts w:ascii="楷体_GB2312" w:hAnsi="楷体_GB2312" w:eastAsia="楷体_GB2312" w:cs="楷体_GB2312"/>
          <w:sz w:val="32"/>
          <w:szCs w:val="32"/>
        </w:rPr>
        <w:t>（见附件）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三、支出决算表</w:t>
      </w:r>
      <w:r>
        <w:rPr>
          <w:rFonts w:ascii="楷体_GB2312" w:hAnsi="楷体_GB2312" w:eastAsia="楷体_GB2312" w:cs="楷体_GB2312"/>
          <w:sz w:val="32"/>
          <w:szCs w:val="32"/>
        </w:rPr>
        <w:t>（见附件）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四、财政拨款收入支出决算总表</w:t>
      </w:r>
      <w:r>
        <w:rPr>
          <w:rFonts w:ascii="楷体_GB2312" w:hAnsi="楷体_GB2312" w:eastAsia="楷体_GB2312" w:cs="楷体_GB2312"/>
          <w:sz w:val="32"/>
          <w:szCs w:val="32"/>
        </w:rPr>
        <w:t>（见附件）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五、一般公共预算财政拨款支出决算表</w:t>
      </w:r>
      <w:r>
        <w:rPr>
          <w:rFonts w:ascii="楷体_GB2312" w:hAnsi="楷体_GB2312" w:eastAsia="楷体_GB2312" w:cs="楷体_GB2312"/>
          <w:sz w:val="32"/>
          <w:szCs w:val="32"/>
        </w:rPr>
        <w:t>（见附件）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六、一般公共预算财政拨款基本支出决算表</w:t>
      </w:r>
      <w:r>
        <w:rPr>
          <w:rFonts w:ascii="楷体_GB2312" w:hAnsi="楷体_GB2312" w:eastAsia="楷体_GB2312" w:cs="楷体_GB2312"/>
          <w:sz w:val="32"/>
          <w:szCs w:val="32"/>
        </w:rPr>
        <w:t>（见附件）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七、一般公共预算财政拨款“三公”经费支出决算表</w:t>
      </w:r>
      <w:r>
        <w:rPr>
          <w:rFonts w:ascii="楷体_GB2312" w:hAnsi="楷体_GB2312" w:eastAsia="楷体_GB2312" w:cs="楷体_GB2312"/>
          <w:sz w:val="32"/>
          <w:szCs w:val="32"/>
        </w:rPr>
        <w:t>（见附件）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八、政府性基金预算财政拨款收入支出决算表</w:t>
      </w:r>
      <w:r>
        <w:rPr>
          <w:rFonts w:ascii="楷体_GB2312" w:hAnsi="楷体_GB2312" w:eastAsia="楷体_GB2312" w:cs="楷体_GB2312"/>
          <w:sz w:val="32"/>
          <w:szCs w:val="32"/>
        </w:rPr>
        <w:t>（见附件，本部门没有相关数据，故本表无数据。）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九、国有资本经营预算财政拨款支出决算表</w:t>
      </w:r>
      <w:r>
        <w:rPr>
          <w:rFonts w:ascii="楷体_GB2312" w:hAnsi="楷体_GB2312" w:eastAsia="楷体_GB2312" w:cs="楷体_GB2312"/>
          <w:sz w:val="32"/>
          <w:szCs w:val="32"/>
        </w:rPr>
        <w:t>（见附件，本部门没有相关数据，故本表无数据。）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964" w:firstLineChars="300"/>
        <w:jc w:val="center"/>
        <w:textAlignment w:val="auto"/>
        <w:rPr>
          <w:rStyle w:val="6"/>
          <w:rFonts w:hint="eastAsia" w:ascii="黑体" w:hAnsi="黑体" w:eastAsia="黑体" w:cs="黑体"/>
          <w:kern w:val="0"/>
          <w:sz w:val="32"/>
          <w:szCs w:val="32"/>
          <w:shd w:val="clear" w:color="auto" w:fill="FFFFFF"/>
        </w:rPr>
      </w:pPr>
      <w:r>
        <w:rPr>
          <w:rStyle w:val="6"/>
          <w:rFonts w:hint="eastAsia" w:ascii="黑体" w:hAnsi="黑体" w:eastAsia="黑体" w:cs="黑体"/>
          <w:kern w:val="0"/>
          <w:sz w:val="32"/>
          <w:szCs w:val="32"/>
          <w:shd w:val="clear" w:color="auto" w:fill="FFFFFF"/>
        </w:rPr>
        <w:t>第三部分 2021年度部门决算情况说明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2021年度收、支总计2,511.67万元</w:t>
      </w:r>
      <w:r>
        <w:rPr>
          <w:rFonts w:hint="eastAsia" w:ascii="仿宋_GB2312" w:hAnsi="仿宋_GB2312" w:eastAsia="仿宋_GB2312" w:cs="仿宋_GB2312"/>
          <w:sz w:val="32"/>
          <w:szCs w:val="32"/>
          <w:lang w:eastAsia="zh-CN"/>
        </w:rPr>
        <w:t>（其中：一般公共预算财政拨款收入</w:t>
      </w:r>
      <w:r>
        <w:rPr>
          <w:rFonts w:hint="eastAsia" w:ascii="仿宋_GB2312" w:hAnsi="仿宋_GB2312" w:eastAsia="仿宋_GB2312" w:cs="仿宋_GB2312"/>
          <w:sz w:val="32"/>
          <w:szCs w:val="32"/>
          <w:lang w:val="en-US" w:eastAsia="zh-CN"/>
        </w:rPr>
        <w:t>1,511.96万元、经营收入928.51万元、年初结转和结余71.20万元；支出总计包括：本年支出合计为1,807.30万元，结余分配625.38万元、年末结转和结余79.00万元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。收、支较上年决算数增加16.50万元,增长0.66%,</w:t>
      </w:r>
      <w:r>
        <w:rPr>
          <w:rFonts w:hint="eastAsia" w:ascii="仿宋_GB2312" w:hAnsi="仿宋_GB2312" w:eastAsia="仿宋_GB2312" w:cs="仿宋_GB2312"/>
          <w:sz w:val="32"/>
          <w:szCs w:val="32"/>
          <w:lang w:val="en-US" w:eastAsia="zh-CN"/>
        </w:rPr>
        <w:t>主要原因一是一般公共预算财政拨款收入较上年减少了81.31万元；二是经营收入较上年增加430.25万元；三是年初结转和结余较上年减少332.44万元。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2021年度收入合计2,440.47万元，其中：一般公共预算财政拨款收入1,511.96万元，占61.95%；经营收入928.51万元，占38.05%；</w:t>
      </w:r>
      <w:r>
        <w:rPr>
          <w:rFonts w:hint="eastAsia" w:ascii="仿宋_GB2312" w:hAnsi="仿宋_GB2312" w:eastAsia="仿宋_GB2312" w:cs="仿宋_GB2312"/>
          <w:sz w:val="32"/>
          <w:szCs w:val="32"/>
          <w:lang w:eastAsia="zh-CN"/>
        </w:rPr>
        <w:t>较上年决算数增加</w:t>
      </w:r>
      <w:r>
        <w:rPr>
          <w:rFonts w:hint="eastAsia" w:ascii="仿宋_GB2312" w:hAnsi="仿宋_GB2312" w:eastAsia="仿宋_GB2312" w:cs="仿宋_GB2312"/>
          <w:sz w:val="32"/>
          <w:szCs w:val="32"/>
          <w:lang w:val="en-US" w:eastAsia="zh-CN"/>
        </w:rPr>
        <w:t>348.94万元，增长16.68%，主要原因一是经营收入较上年增加430.25万元，二是一般公共预算财政拨款收入较上年减少了81.31万元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2021年度支出合计1,807.30万元，</w:t>
      </w:r>
      <w:r>
        <w:rPr>
          <w:rFonts w:hint="eastAsia" w:ascii="仿宋_GB2312" w:hAnsi="仿宋_GB2312" w:eastAsia="仿宋_GB2312" w:cs="仿宋_GB2312"/>
          <w:sz w:val="32"/>
          <w:szCs w:val="32"/>
          <w:lang w:eastAsia="zh-CN"/>
        </w:rPr>
        <w:t>较上年决算数减少</w:t>
      </w:r>
      <w:r>
        <w:rPr>
          <w:rFonts w:hint="eastAsia" w:ascii="仿宋_GB2312" w:hAnsi="仿宋_GB2312" w:eastAsia="仿宋_GB2312" w:cs="仿宋_GB2312"/>
          <w:sz w:val="32"/>
          <w:szCs w:val="32"/>
          <w:lang w:val="en-US" w:eastAsia="zh-CN"/>
        </w:rPr>
        <w:t>365.40万元，下降16.82%，主要原因一是基本支出较上年增加了118.69万元，二是项目支出较上年减少了540.24万元，三是经营支出较上年增加了56.15万元。</w:t>
      </w:r>
      <w:r>
        <w:rPr>
          <w:rFonts w:hint="eastAsia" w:ascii="仿宋_GB2312" w:hAnsi="仿宋_GB2312" w:eastAsia="仿宋_GB2312" w:cs="仿宋_GB2312"/>
          <w:sz w:val="32"/>
          <w:szCs w:val="32"/>
        </w:rPr>
        <w:t>其中：基本支出721.96万元，占39.95%；项目支出782.20万元，占43.28%；经营支出303.14万元，占16.77%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楷体_GB2312" w:hAnsi="楷体_GB2312" w:eastAsia="楷体_GB2312" w:cs="楷体_GB2312"/>
          <w:kern w:val="0"/>
          <w:sz w:val="32"/>
          <w:szCs w:val="32"/>
          <w:lang w:val="en-US" w:eastAsia="zh-CN"/>
        </w:rPr>
      </w:pPr>
      <w:r>
        <w:rPr>
          <w:rFonts w:hint="eastAsia" w:ascii="仿宋_GB2312" w:hAnsi="仿宋_GB2312" w:eastAsia="仿宋_GB2312" w:cs="仿宋_GB2312"/>
          <w:sz w:val="32"/>
          <w:szCs w:val="32"/>
          <w:lang w:val="en-US" w:eastAsia="zh-CN"/>
        </w:rPr>
        <w:t>2021年度财政拨款收、支总计1,583.16万元。与2020年相比，财政拨款收、支总计各减少413.75万元，下降20.72%。主要原因一是省级地勘基金项目和省级基础地质调查项目收入较上年减少；</w:t>
      </w:r>
      <w:r>
        <w:rPr>
          <w:rFonts w:hint="eastAsia" w:ascii="仿宋_GB2312" w:hAnsi="仿宋_GB2312" w:eastAsia="仿宋_GB2312" w:cs="仿宋_GB2312"/>
          <w:sz w:val="32"/>
          <w:szCs w:val="32"/>
        </w:rPr>
        <w:t>二是我单位在职人员在不超编的情况下有所增加，人员经费支出有所增加。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一般公共预算财政拨款支出1,504.16万元，占本年支出的83.23%，较上年决算数减少421.55万元，下降21.89%。主要原因一是省级地勘基金项目和省级基础地质调查项目支出较上年减少，二是我单位在职人员有所增加，人员经费支出有所增加。主要用于以下几个方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1．社会保障和就业支出</w:t>
      </w:r>
      <w:r>
        <w:rPr>
          <w:rFonts w:hint="eastAsia" w:ascii="仿宋_GB2312" w:hAnsi="仿宋_GB2312" w:eastAsia="仿宋_GB2312" w:cs="仿宋_GB2312"/>
          <w:sz w:val="32"/>
          <w:szCs w:val="32"/>
          <w:lang w:val="en-US" w:eastAsia="zh-CN"/>
        </w:rPr>
        <w:t>年初预算数为88.76万元，支出决算为88.76万元，完成年初预算的100.00%,年初预算数与决算数一致。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2．卫生健康支出</w:t>
      </w:r>
      <w:r>
        <w:rPr>
          <w:rFonts w:hint="eastAsia" w:ascii="仿宋_GB2312" w:hAnsi="仿宋_GB2312" w:eastAsia="仿宋_GB2312" w:cs="仿宋_GB2312"/>
          <w:sz w:val="32"/>
          <w:szCs w:val="32"/>
          <w:lang w:val="en-US" w:eastAsia="zh-CN"/>
        </w:rPr>
        <w:t>年初预算数为40.51万元，支出决算为40.51万元，完成年初预算的100.00%,年初预算数与决算数一致。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 资源勘探工业信息等支出</w:t>
      </w:r>
      <w:r>
        <w:rPr>
          <w:rFonts w:hint="eastAsia" w:ascii="仿宋_GB2312" w:hAnsi="仿宋_GB2312" w:eastAsia="仿宋_GB2312" w:cs="仿宋_GB2312"/>
          <w:sz w:val="32"/>
          <w:szCs w:val="32"/>
          <w:lang w:val="en-US" w:eastAsia="zh-CN"/>
        </w:rPr>
        <w:t>年初预算数为550.42万元，支出决算为550.42万元，完成年初预算的100.00%,年初预算数与决算数一致。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4．自然资源海洋气象等支出</w:t>
      </w:r>
      <w:r>
        <w:rPr>
          <w:rFonts w:hint="eastAsia" w:ascii="仿宋_GB2312" w:hAnsi="仿宋_GB2312" w:eastAsia="仿宋_GB2312" w:cs="仿宋_GB2312"/>
          <w:sz w:val="32"/>
          <w:szCs w:val="32"/>
          <w:lang w:val="en-US" w:eastAsia="zh-CN"/>
        </w:rPr>
        <w:t>年初预算数为71.20万元，支出决算为782.20万元，完成年初预算的1,098.60%,决算数大于预算数的主要原因是2021年度追加1个省级地勘基金项目和1个省级基础地质调查项目，相应支出增加。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5．住房保障支出</w:t>
      </w:r>
      <w:r>
        <w:rPr>
          <w:rFonts w:hint="eastAsia" w:ascii="仿宋_GB2312" w:hAnsi="仿宋_GB2312" w:eastAsia="仿宋_GB2312" w:cs="仿宋_GB2312"/>
          <w:sz w:val="32"/>
          <w:szCs w:val="32"/>
          <w:lang w:val="en-US" w:eastAsia="zh-CN"/>
        </w:rPr>
        <w:t>年初预算数为42.27万元，支出决算为42.27万元，完成年初预算的100.00%,年初预算数与决算数一致。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一般公共预算财政拨款基本支出721.96万元。其中：人员经费683.14万元，较上年决算数增加114.62万元，增长20.16%，主要原因是落实事业单位职工工资、调整与工资挂钩的经费支出。人员经费用途主要包括“基本工资、津贴补贴、机关事业单位基本养老保险缴费、职业年金缴费、职工基本医疗保险缴费、其他社会保险缴费、住房公积金”。公用经费38.82万元，较上年决算数增加4.07万元，增长11.71%，主要原因是疫情期间增加防疫支出。公用经费用途主要包括“办公费、水费、电费、取暖费、差旅费、培训费、公务接待费、工会经费、福利费、公务用车运行维护费、其他交通费、其他商品和服务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（一）“三公”经费财政拨款支出总体情况说明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三公”经费支出年初预算数为9.60万元，支出决算为8.79万元，完成年初预算的91.58%,决算数小于预算数的主要原因是贯彻落实中央八项规定精神，按照过“紧日子”的要求，从严控制和压缩“三公”经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1.因公出国（境）费用</w:t>
      </w:r>
      <w:r>
        <w:rPr>
          <w:rFonts w:hint="eastAsia" w:ascii="仿宋_GB2312" w:hAnsi="仿宋_GB2312" w:eastAsia="仿宋_GB2312" w:cs="仿宋_GB2312"/>
          <w:sz w:val="32"/>
          <w:szCs w:val="32"/>
          <w:lang w:val="en-US" w:eastAsia="zh-CN"/>
        </w:rPr>
        <w:t>年初预算数为0.00万元，支出决算为0.00万元，完成年初预算的0.00%,决算数与预算数一致的主要原因是2021年度我院未安排因公出国（境）费用，本年度未发生因公出国（境）费用。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2.公务用车购置及运行维护费</w:t>
      </w:r>
      <w:r>
        <w:rPr>
          <w:rFonts w:hint="eastAsia" w:ascii="仿宋_GB2312" w:hAnsi="仿宋_GB2312" w:eastAsia="仿宋_GB2312" w:cs="仿宋_GB2312"/>
          <w:sz w:val="32"/>
          <w:szCs w:val="32"/>
          <w:lang w:val="en-US" w:eastAsia="zh-CN"/>
        </w:rPr>
        <w:t>年初预算数为8.72万元，支出决算为8.52万元，完成年初预算的97.71%,决算数小于预算数的主要原因是贯彻落实中央八项规定精神，按照过“紧日子”的要求，从严控制和压缩公务用车购置及运行维护费。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其中：公务用车购置费</w:t>
      </w:r>
      <w:r>
        <w:rPr>
          <w:rFonts w:hint="eastAsia" w:ascii="仿宋_GB2312" w:hAnsi="仿宋_GB2312" w:eastAsia="仿宋_GB2312" w:cs="仿宋_GB2312"/>
          <w:sz w:val="32"/>
          <w:szCs w:val="32"/>
          <w:lang w:val="en-US" w:eastAsia="zh-CN"/>
        </w:rPr>
        <w:t>年初预算数为0.00万元，支出决算为0.00万元，完成年初预算的0.00%,决算数与预算数一致的主要原因是2021年度我院无公务用车购置费的发生。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公务用车运行维护费</w:t>
      </w:r>
      <w:r>
        <w:rPr>
          <w:rFonts w:hint="eastAsia" w:ascii="仿宋_GB2312" w:hAnsi="仿宋_GB2312" w:eastAsia="仿宋_GB2312" w:cs="仿宋_GB2312"/>
          <w:sz w:val="32"/>
          <w:szCs w:val="32"/>
          <w:lang w:val="en-US" w:eastAsia="zh-CN"/>
        </w:rPr>
        <w:t>年初预算数为8.72万元，支出决算为8.52万元，完成年初预算的97.71%,决算数小于预算数的主要原因是贯彻落实中央八项规定精神，按照过“紧日子”的要求，从严控制和压缩公务用车运行经费。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3.公务接待费</w:t>
      </w:r>
      <w:r>
        <w:rPr>
          <w:rFonts w:hint="eastAsia" w:ascii="仿宋_GB2312" w:hAnsi="仿宋_GB2312" w:eastAsia="仿宋_GB2312" w:cs="仿宋_GB2312"/>
          <w:sz w:val="32"/>
          <w:szCs w:val="32"/>
          <w:lang w:val="en-US" w:eastAsia="zh-CN"/>
        </w:rPr>
        <w:t>年初预算数为0.88万元，支出决算为0.27万元，完成年初预算的30.86%,决算数小于预算数的主要原因是贯彻落实中央八项规定精神，按照过“紧日子”的要求，从严控制和压缩公务接待费。</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4.会议费</w:t>
      </w:r>
      <w:r>
        <w:rPr>
          <w:rFonts w:hint="eastAsia" w:ascii="仿宋_GB2312" w:hAnsi="仿宋_GB2312" w:eastAsia="仿宋_GB2312" w:cs="仿宋_GB2312"/>
          <w:sz w:val="32"/>
          <w:szCs w:val="32"/>
          <w:lang w:val="en-US" w:eastAsia="zh-CN"/>
        </w:rPr>
        <w:t>年初预算数为0.00万元，本年度会议费支出0.00万元，较上年决算数减少0.00万元，下降0.00%，主要原因是本年度我单位组织相关会议，未发生会议费相关支出。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5.培训费</w:t>
      </w:r>
      <w:r>
        <w:rPr>
          <w:rFonts w:hint="eastAsia" w:ascii="仿宋_GB2312" w:hAnsi="仿宋_GB2312" w:eastAsia="仿宋_GB2312" w:cs="仿宋_GB2312"/>
          <w:sz w:val="32"/>
          <w:szCs w:val="32"/>
          <w:lang w:val="en-US" w:eastAsia="zh-CN"/>
        </w:rPr>
        <w:t>年初预算数为2.53万元，本年度培训费支出2.53万元，较上年决算数增加0.49万元，增长24.02%，主要原因是我院2021年度为落实国家人社部及省级人社厅关于专业技术人员继续教育工作的部署和要求，开展了专业技术人员继续教育网络培训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（三）“三公”经费财政拨款支出决算实物量情况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2021年度本部门因公出国（境）共计0个团组，0人；公务用车购置0辆，公务用车保有量为1辆；国内公务接待6批次34人，其中：外事接待0批次，0人；国（境）外公务接待0批次，0人。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八、机关运行经费支出情况说明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我单位2021年度无机关运行相关经费。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九、政府采购支出情况说明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2021年度本部门政府采购支出合计26.48万元，其中：政府采购货物支出26.48万元、政府采购工程支出0.00 万元、政府采购服务支出0.00万元。授予中小企业合同金额26.48万元，占政府采购支出总额的100.00%，其中：授予小微企业合同金额17.48 万元，占政府采购支出总额的66.01%。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十、国有资产占用情况说明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2021年12月31日，本部门共有车辆4辆，其中，副部（省）级及以上领导用车0辆、主要领导干部用车0辆、机要通信用车0辆、应急保障用车0辆、执法执勤用车0辆，特种专业技术用车0辆，离退休干部用车0辆，其他用车4辆，其他用车主要是用于野外地质勘查车辆。单价50万元（含）以上通用设备0台（套），单价100万元（含）以上专用设备3台（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十一、政府性基金预算财政拨款收支决算情况说明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sz w:val="32"/>
          <w:szCs w:val="32"/>
          <w:lang w:val="en-US" w:eastAsia="zh-CN"/>
        </w:rPr>
        <w:t>本部门2021年度无政府性基金收入，也没有使用政府性基金安排的支出。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十二、国有资本经营预算财政拨款支出情况说明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本部门2021年度没有使用国有资本经营预算安排的支出。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十三、预算绩效情况说明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绩效管理评价工作开展情况。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甘肃省财政厅关于开展2021年省级预算执行情况绩效自评情况的通知》（甘财绩〔2021〕8号）要求，我院领导高度重视，立即组织相关人员召开会议，传达文件精神，为确保省级预算执行情况绩效评价工作的顺利开展，成立了院部门预算执行情况绩效评价工作领导小组，负责全院省级预算执行情况绩效评价工作。明确各部门职责及分工，资产财务科牵头负责单位整体支出绩效评价工作，综合研究室牵头负责项目支出绩效评价工作，经管科牵头负责经营项目绩效评价工作，涉及政府采购、资产管理、人员管理、重点工作管理、社会影响、组织建设、档案管理、信息化管理等相关部门配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根据预算绩效管理要求，我部门组织对2021年度一般公共预算2个项目支出全面开展绩效自评，其中，一级项目0个，二级项目2个，共涉及资金711.00万元，占一般公共预算项目支出总额的90%</w:t>
      </w:r>
      <w:r>
        <w:rPr>
          <w:rFonts w:cs="宋体"/>
          <w:b w:val="0"/>
          <w:bCs w:val="0"/>
          <w:sz w:val="32"/>
          <w:szCs w:val="32"/>
          <w:shd w:val="clear" w:color="auto" w:fill="FFFFFF"/>
        </w:rPr>
        <w:t>。</w:t>
      </w:r>
      <w:r>
        <w:rPr>
          <w:rFonts w:hint="eastAsia" w:ascii="仿宋_GB2312" w:hAnsi="仿宋_GB2312" w:eastAsia="仿宋_GB2312" w:cs="仿宋_GB2312"/>
          <w:sz w:val="32"/>
          <w:szCs w:val="32"/>
          <w:lang w:val="en-US" w:eastAsia="zh-CN"/>
        </w:rPr>
        <w:t>其中：1.省级地质勘查基金项目甘肃省灵台县百里东南部勘查区煤炭普查（2021年续作）涉及部门资金650.00万元，全年支出585.00万元，执行率为90%，按照财政厅统一要求进行了绩效运行监控，绩效自评96.1分，项目自评结果为“优”</w:t>
      </w:r>
      <w:r>
        <w:rPr>
          <w:rFonts w:cs="宋体"/>
          <w:sz w:val="32"/>
          <w:szCs w:val="32"/>
          <w:shd w:val="clear" w:color="auto" w:fill="FFFFFF"/>
        </w:rPr>
        <w:t>。</w:t>
      </w:r>
      <w:r>
        <w:rPr>
          <w:rFonts w:hint="eastAsia" w:cs="宋体"/>
          <w:sz w:val="32"/>
          <w:szCs w:val="32"/>
          <w:shd w:val="clear" w:color="auto" w:fill="FFFFFF"/>
          <w:lang w:val="en-US" w:eastAsia="zh-CN"/>
        </w:rPr>
        <w:t>2.</w:t>
      </w:r>
      <w:r>
        <w:rPr>
          <w:rFonts w:hint="eastAsia" w:ascii="仿宋_GB2312" w:hAnsi="仿宋_GB2312" w:eastAsia="仿宋_GB2312" w:cs="仿宋_GB2312"/>
          <w:sz w:val="32"/>
          <w:szCs w:val="32"/>
          <w:lang w:val="en-US" w:eastAsia="zh-CN"/>
        </w:rPr>
        <w:t>承担甘肃省基础地质调查项目甘肃省永昌县西龙口煤炭资源调查涉及部门资金140.00万元，全年支出126.00万元，执行率为90%，按照财政厅统一要求进行了绩效运行监控，绩效自评93分，项目自评结果为“优”。从评价情况来看，2个财政项目资金完成率均达到90%，执行率较高，并且基本完成了年度总体目标，部分目标未完成的主要原因是连续雨天及疫情的影响，施工进度缓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 年度本部门无政府性基金预算项目支出，未开展绩效自评，共涉及资金0万元，占政府性基金预算项目支出总额的0%。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 年度本部门无国有资本经营预算项目支出，未开展绩效自评，共涉及资金0万元，占国有资本经营预算项目支出总额的0%。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组织对甘肃煤炭地质勘查院开展整体支出绩效评价，涉及一般公共预算支出1,807.30万元。从评价情况来看，我院完成了年度总体绩效目标，自评结果为“优”。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（《自评表》详见附件）</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部门决算中项目绩效自评结果。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2021年度我单位未在部门决算中对本单位承担的2个财政项目进项绩效自评。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（3）财政评价项目绩效评价结果。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2021年度我单位无财政评价项目绩效评价。</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部门评价项目绩效评价结果。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我单位对2021年度承担的2个财政项目以填报目标自评表形式开展自评，现将甘肃省永昌县西龙口煤炭资源调查项目自评情况分析如下：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根据年初设定的绩效目标，项目绩效自评得分为93分。项目全年预算数为140.00万元，执行数为126.00万元，完成预算的90%。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（2）总体绩效目标完成情况分析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预期完成工作量：工程测量1个点；二维地震80个生产物理点；钻探1个孔，共计900m；测井1个孔，共计895实测米；采样测试6组。圈定进一步勘查工作范围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实际完成情况：工程测量1个点；二维地震81个生产物理点,22个试验点，合计103个物理点；钻探1个孔，共计900m；测井1个孔，共计895实测米；采样测试6组。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数量指标：完成工程测量1个，二维地震103个物理点；900M钻探；6组样品采集及分析。均实现年度指标值，完成率为100%。</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质量指标：验收合格率100%；测量数据准确率100%；测试数据准确率100%。</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时效指标：及时完成野外地质工作。</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成本指标：预算经费完成情况粘年度指标为140.00万元，实际完成值为126.00万元，完成率为90%。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400" w:firstLineChars="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经济效益指标：</w:t>
      </w:r>
      <w:r>
        <w:rPr>
          <w:rFonts w:ascii="仿宋_GB2312" w:hAnsi="仿宋_GB2312" w:eastAsia="仿宋_GB2312" w:cs="仿宋_GB2312"/>
          <w:sz w:val="32"/>
          <w:szCs w:val="32"/>
        </w:rPr>
        <w:t>根据现阶段工作程度，</w:t>
      </w:r>
      <w:r>
        <w:rPr>
          <w:rFonts w:hint="eastAsia" w:ascii="仿宋_GB2312" w:hAnsi="仿宋_GB2312" w:eastAsia="仿宋_GB2312" w:cs="仿宋_GB2312"/>
          <w:sz w:val="32"/>
          <w:szCs w:val="32"/>
        </w:rPr>
        <w:t>进行了阶段性成果分析</w:t>
      </w:r>
      <w:r>
        <w:rPr>
          <w:rFonts w:ascii="仿宋_GB2312" w:hAnsi="仿宋_GB2312" w:eastAsia="仿宋_GB2312" w:cs="仿宋_GB2312"/>
          <w:sz w:val="32"/>
          <w:szCs w:val="32"/>
        </w:rPr>
        <w:t>，待后续工作量相继完成，有望发现具进一步工作价值的勘查靶区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400" w:firstLineChars="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社会效益指标：</w:t>
      </w:r>
      <w:r>
        <w:rPr>
          <w:rFonts w:ascii="仿宋_GB2312" w:hAnsi="仿宋_GB2312" w:eastAsia="仿宋_GB2312" w:cs="仿宋_GB2312"/>
          <w:sz w:val="32"/>
          <w:szCs w:val="32"/>
        </w:rPr>
        <w:t>安全事故发生率为0，完成率100%；该项目对自然资源保障、地方经济发展起到一定推动作用,完成值</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0%。</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40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生态效益指标：该项目始终坚持绿色勘查。</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40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可持续影响指标：项目勘查投资带动资源增长，为社会发展提供资源保障完成率100%。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（4）发现的主要问题是及原因及下一步措施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发现的主要问题是及原因：由于疫情影响，项目未完成野外验收。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下一步措施：一是2022年申请野外验收，完成报告编写；二是对目前所取得的资料进行了大致分析，进一步找有工作价值的矿靶区。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center"/>
        <w:textAlignment w:val="auto"/>
        <w:rPr>
          <w:rStyle w:val="6"/>
          <w:rFonts w:hint="eastAsia" w:ascii="黑体" w:hAnsi="黑体" w:eastAsia="黑体" w:cs="黑体"/>
          <w:kern w:val="0"/>
          <w:sz w:val="32"/>
          <w:szCs w:val="32"/>
          <w:shd w:val="clear" w:color="auto" w:fill="FFFFFF"/>
        </w:rPr>
      </w:pPr>
      <w:r>
        <w:rPr>
          <w:rStyle w:val="6"/>
          <w:rFonts w:hint="eastAsia" w:ascii="黑体" w:hAnsi="黑体" w:eastAsia="黑体" w:cs="黑体"/>
          <w:kern w:val="0"/>
          <w:sz w:val="32"/>
          <w:szCs w:val="32"/>
          <w:shd w:val="clear" w:color="auto" w:fill="FFFFFF"/>
        </w:rPr>
        <w:t>第四部分 名词解释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一、财政拨款收入</w:t>
      </w:r>
      <w:r>
        <w:t>：指本年度从本级财政部门取得的财政拨款，包括一般公共预算财政拨款和政府性基金预算财政拨款。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二、事业收入</w:t>
      </w:r>
      <w:r>
        <w:t>：指事业单位开展专业业务活动及其辅助活动取得的现金流入；事业单位收到的财政专户实际核拨的教育收费等资金在此反映。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三、经营收入</w:t>
      </w:r>
      <w:r>
        <w:t>：指事业单位在专业业务活动及其辅助活动之外开展非独立核算经营活动取得的现金流入。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四、其他收入</w:t>
      </w:r>
      <w:r>
        <w:t>：指单位取得的除“财政拨款收入”、“事业收入”、“经营收入”等以外 的收入，包括未纳入财政预算或财政专户管理的投资收益、银行存款利息收入、租金收入、捐赠收入，现金盘盈收入、存货盘盈收入、收回已核销的应收及预付款 项、无法偿付的应付及预收款项等。各单位从本级财政部门以外的同级单位取得的经费、从非本级财政部门取得的经费，以及行政单位收到的财政专户管理资金反映 在本项内。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五、年初结转和结余</w:t>
      </w:r>
      <w:r>
        <w:t>：指单位上年结转本年使用的基本支出结转、项目支出结转和结余、经营结余。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六、结余分配</w:t>
      </w:r>
      <w:r>
        <w:t>：指单位按照国家有关规定，缴纳所得税、提取专用基金、转入事业基金等当年结余的分配情况。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七、年末结转和结余</w:t>
      </w:r>
      <w:r>
        <w:t>：指单位结转下年的基本支出结转、项目支出结转和结余、经营结余。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八、基本支出</w:t>
      </w:r>
      <w: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九、项目支出</w:t>
      </w:r>
      <w:r>
        <w:t>：指在基本支出之外为完成特定行政任务和事业发展目标所发生的支出。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十、经营支出</w:t>
      </w:r>
      <w:r>
        <w:t>：指事业单位在专业业务活动及其辅助活动之外开展非独立核算经营活动发生的支出。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十一、“三公”经费</w:t>
      </w:r>
      <w:r>
        <w:t>： 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十二、机关运行经费</w:t>
      </w:r>
      <w:r>
        <w:t>：为保障行政单位（含参照公务员法管理的事业单位）运行用于购买 货物和服务等的各项公用经费，包括办公及印刷费、邮电费、差旅费、会议费、福利费、日常维护费、专用材料及一般设备购置费、办公用房水电费、办公用房取暖 费、办公用房物业管理费、公务用车运行维护费以及其他费用。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十三、工资福利支出</w:t>
      </w:r>
      <w:r>
        <w:t>（支出经济分类科目类级）：反映单位开支的在职职工和编制外长期聘用人员的各类劳动报酬，以及为上述人员缴纳的各项社会保险费等。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十四、商品和服务支出（支出经济分类科目类级）</w:t>
      </w:r>
      <w:r>
        <w:t>：反映单位购买商品和服务的支出（不包括用于购置固定资产的支出、战略性和应急储备支出）。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十五、对个人和家庭的补助（支出经济分类科目类级）</w:t>
      </w:r>
      <w:r>
        <w:t>：反映用于对个人和家庭的补助支出。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Style w:val="5"/>
        </w:rPr>
        <w:t>十六、其他资本性支出（支出经济分类科目类级）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E4BE2"/>
    <w:multiLevelType w:val="singleLevel"/>
    <w:tmpl w:val="D53E4BE2"/>
    <w:lvl w:ilvl="0" w:tentative="0">
      <w:start w:val="1"/>
      <w:numFmt w:val="decimalEnclosedCircleChinese"/>
      <w:suff w:val="nothing"/>
      <w:lvlText w:val="%1　"/>
      <w:lvlJc w:val="left"/>
      <w:pPr>
        <w:ind w:left="0" w:firstLine="400"/>
      </w:pPr>
      <w:rPr>
        <w:rFonts w:hint="eastAsia"/>
      </w:rPr>
    </w:lvl>
  </w:abstractNum>
  <w:abstractNum w:abstractNumId="1">
    <w:nsid w:val="EF78872A"/>
    <w:multiLevelType w:val="singleLevel"/>
    <w:tmpl w:val="EF78872A"/>
    <w:lvl w:ilvl="0" w:tentative="0">
      <w:start w:val="2"/>
      <w:numFmt w:val="decimal"/>
      <w:suff w:val="nothing"/>
      <w:lvlText w:val="（%1）"/>
      <w:lvlJc w:val="left"/>
    </w:lvl>
  </w:abstractNum>
  <w:abstractNum w:abstractNumId="2">
    <w:nsid w:val="FE156EFD"/>
    <w:multiLevelType w:val="singleLevel"/>
    <w:tmpl w:val="FE156EFD"/>
    <w:lvl w:ilvl="0" w:tentative="0">
      <w:start w:val="1"/>
      <w:numFmt w:val="decimalEnclosedCircleChinese"/>
      <w:suff w:val="nothing"/>
      <w:lvlText w:val="%1　"/>
      <w:lvlJc w:val="left"/>
      <w:pPr>
        <w:ind w:left="0" w:firstLine="400"/>
      </w:pPr>
      <w:rPr>
        <w:rFonts w:hint="eastAsia"/>
      </w:rPr>
    </w:lvl>
  </w:abstractNum>
  <w:abstractNum w:abstractNumId="3">
    <w:nsid w:val="2D660BBF"/>
    <w:multiLevelType w:val="singleLevel"/>
    <w:tmpl w:val="2D660BBF"/>
    <w:lvl w:ilvl="0" w:tentative="0">
      <w:start w:val="4"/>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NGExM2I2YTc0YThiNDc4MThiNWNkNzc1MzQyYTQifQ=="/>
  </w:docVars>
  <w:rsids>
    <w:rsidRoot w:val="209F420E"/>
    <w:rsid w:val="007200AE"/>
    <w:rsid w:val="00D20D7B"/>
    <w:rsid w:val="00DC19CB"/>
    <w:rsid w:val="011949CD"/>
    <w:rsid w:val="03B07995"/>
    <w:rsid w:val="073B7BAE"/>
    <w:rsid w:val="07BF59B1"/>
    <w:rsid w:val="091C1BB1"/>
    <w:rsid w:val="11FB1428"/>
    <w:rsid w:val="13FB020D"/>
    <w:rsid w:val="15A85EC8"/>
    <w:rsid w:val="15B635D5"/>
    <w:rsid w:val="18522553"/>
    <w:rsid w:val="1C0E45D6"/>
    <w:rsid w:val="1D532BBD"/>
    <w:rsid w:val="1DBE44DB"/>
    <w:rsid w:val="1ECB5810"/>
    <w:rsid w:val="1EF14CDB"/>
    <w:rsid w:val="209F420E"/>
    <w:rsid w:val="20EF154A"/>
    <w:rsid w:val="210B7891"/>
    <w:rsid w:val="211E4439"/>
    <w:rsid w:val="21FD595E"/>
    <w:rsid w:val="23EE1329"/>
    <w:rsid w:val="24F44357"/>
    <w:rsid w:val="2632650B"/>
    <w:rsid w:val="27C80AF2"/>
    <w:rsid w:val="294C6E3F"/>
    <w:rsid w:val="2C016616"/>
    <w:rsid w:val="2C567FD4"/>
    <w:rsid w:val="2CBA3270"/>
    <w:rsid w:val="2CF152D7"/>
    <w:rsid w:val="2D416419"/>
    <w:rsid w:val="2E734E6D"/>
    <w:rsid w:val="30755047"/>
    <w:rsid w:val="31572824"/>
    <w:rsid w:val="32267A64"/>
    <w:rsid w:val="39213750"/>
    <w:rsid w:val="3AEC222F"/>
    <w:rsid w:val="3BFF13ED"/>
    <w:rsid w:val="3C4A7000"/>
    <w:rsid w:val="3D6B0F65"/>
    <w:rsid w:val="3E210442"/>
    <w:rsid w:val="3E254309"/>
    <w:rsid w:val="3E7F33BB"/>
    <w:rsid w:val="3F89423D"/>
    <w:rsid w:val="3FBF43B6"/>
    <w:rsid w:val="4058691D"/>
    <w:rsid w:val="40963F4E"/>
    <w:rsid w:val="44FE772F"/>
    <w:rsid w:val="464A0AA0"/>
    <w:rsid w:val="473D745B"/>
    <w:rsid w:val="48691363"/>
    <w:rsid w:val="490E5A67"/>
    <w:rsid w:val="4A70761F"/>
    <w:rsid w:val="4CB42DC9"/>
    <w:rsid w:val="4D2515D1"/>
    <w:rsid w:val="4E0F6509"/>
    <w:rsid w:val="4E467A51"/>
    <w:rsid w:val="527E1EAF"/>
    <w:rsid w:val="52E618F0"/>
    <w:rsid w:val="531F6D18"/>
    <w:rsid w:val="539E4694"/>
    <w:rsid w:val="55F04729"/>
    <w:rsid w:val="578A6C00"/>
    <w:rsid w:val="5DC82230"/>
    <w:rsid w:val="5E192A8C"/>
    <w:rsid w:val="5F2D4A41"/>
    <w:rsid w:val="5F702B80"/>
    <w:rsid w:val="60202BCD"/>
    <w:rsid w:val="60A95F6E"/>
    <w:rsid w:val="616D3DD7"/>
    <w:rsid w:val="625E5BE3"/>
    <w:rsid w:val="6311003A"/>
    <w:rsid w:val="63392969"/>
    <w:rsid w:val="639B06BF"/>
    <w:rsid w:val="65B302F4"/>
    <w:rsid w:val="65B510ED"/>
    <w:rsid w:val="676C1DBE"/>
    <w:rsid w:val="67C10DC4"/>
    <w:rsid w:val="684B418A"/>
    <w:rsid w:val="68E343C2"/>
    <w:rsid w:val="6B146D64"/>
    <w:rsid w:val="6BBA1B79"/>
    <w:rsid w:val="6C5001CC"/>
    <w:rsid w:val="6DF77990"/>
    <w:rsid w:val="6E0C7F17"/>
    <w:rsid w:val="6F733141"/>
    <w:rsid w:val="712A5353"/>
    <w:rsid w:val="7161057A"/>
    <w:rsid w:val="732A002F"/>
    <w:rsid w:val="7395275D"/>
    <w:rsid w:val="73E7745D"/>
    <w:rsid w:val="7413436B"/>
    <w:rsid w:val="748C1DB2"/>
    <w:rsid w:val="74AF784E"/>
    <w:rsid w:val="761C069D"/>
    <w:rsid w:val="76C362A3"/>
    <w:rsid w:val="7A9256AA"/>
    <w:rsid w:val="7ADD6F12"/>
    <w:rsid w:val="7EF07617"/>
    <w:rsid w:val="7FA55BAE"/>
    <w:rsid w:val="7FE0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19"/>
    <w:basedOn w:val="4"/>
    <w:qFormat/>
    <w:uiPriority w:val="0"/>
    <w:rPr>
      <w:rFonts w:hint="default" w:ascii="Times New Roman" w:hAnsi="Times New Roman" w:cs="Times New Roman"/>
      <w:b/>
    </w:rPr>
  </w:style>
  <w:style w:type="paragraph" w:customStyle="1" w:styleId="7">
    <w:name w:val="普通(网站)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6505</Words>
  <Characters>7184</Characters>
  <Lines>0</Lines>
  <Paragraphs>0</Paragraphs>
  <TotalTime>34</TotalTime>
  <ScaleCrop>false</ScaleCrop>
  <LinksUpToDate>false</LinksUpToDate>
  <CharactersWithSpaces>32213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2022-08-15T01:27:00Z</dcterms:created>
  <dc:creator>Administrator</dc:creator>
  <cp:lastModifiedBy>Administrator</cp:lastModifiedBy>
  <dcterms:modified xsi:type="dcterms:W3CDTF">2022-08-25T10:25:21Z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06E5F536F61040208B3EDC542DC0444D</vt:lpwstr>
  </property>
</Properties>
</file>